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tblBorders>
          <w:top w:val="outset" w:sz="6" w:space="0" w:color="9A5F27"/>
          <w:left w:val="outset" w:sz="6" w:space="0" w:color="9A5F27"/>
          <w:bottom w:val="outset" w:sz="6" w:space="0" w:color="9A5F27"/>
          <w:right w:val="outset" w:sz="6" w:space="0" w:color="9A5F27"/>
        </w:tblBorders>
        <w:shd w:val="clear" w:color="auto" w:fill="EADCC5"/>
        <w:tblCellMar>
          <w:left w:w="0" w:type="dxa"/>
          <w:right w:w="0" w:type="dxa"/>
        </w:tblCellMar>
        <w:tblLook w:val="04A0"/>
      </w:tblPr>
      <w:tblGrid>
        <w:gridCol w:w="8222"/>
      </w:tblGrid>
      <w:tr w:rsidR="00642193" w:rsidTr="00642193">
        <w:trPr>
          <w:tblCellSpacing w:w="0" w:type="dxa"/>
          <w:jc w:val="center"/>
        </w:trPr>
        <w:tc>
          <w:tcPr>
            <w:tcW w:w="0" w:type="auto"/>
            <w:tcBorders>
              <w:top w:val="outset" w:sz="6" w:space="0" w:color="9A5F27"/>
              <w:left w:val="outset" w:sz="6" w:space="0" w:color="9A5F27"/>
              <w:bottom w:val="outset" w:sz="6" w:space="0" w:color="9A5F27"/>
              <w:right w:val="outset" w:sz="6" w:space="0" w:color="9A5F27"/>
            </w:tcBorders>
            <w:shd w:val="clear" w:color="auto" w:fill="EADCC5"/>
            <w:vAlign w:val="center"/>
            <w:hideMark/>
          </w:tcPr>
          <w:tbl>
            <w:tblPr>
              <w:tblW w:w="0" w:type="auto"/>
              <w:tblCellSpacing w:w="15" w:type="dxa"/>
              <w:tblCellMar>
                <w:top w:w="15" w:type="dxa"/>
                <w:left w:w="15" w:type="dxa"/>
                <w:bottom w:w="15" w:type="dxa"/>
                <w:right w:w="15" w:type="dxa"/>
              </w:tblCellMar>
              <w:tblLook w:val="04A0"/>
            </w:tblPr>
            <w:tblGrid>
              <w:gridCol w:w="142"/>
              <w:gridCol w:w="2961"/>
              <w:gridCol w:w="4819"/>
              <w:gridCol w:w="270"/>
            </w:tblGrid>
            <w:tr w:rsidR="00642193">
              <w:trPr>
                <w:tblCellSpacing w:w="15" w:type="dxa"/>
              </w:trPr>
              <w:tc>
                <w:tcPr>
                  <w:tcW w:w="0" w:type="auto"/>
                  <w:hideMark/>
                </w:tcPr>
                <w:p w:rsidR="00642193" w:rsidRDefault="00642193">
                  <w:pPr>
                    <w:rPr>
                      <w:rFonts w:ascii="Arial" w:hAnsi="Arial" w:cs="Arial"/>
                    </w:rPr>
                  </w:pPr>
                  <w:r>
                    <w:rPr>
                      <w:rFonts w:ascii="Arial" w:hAnsi="Arial" w:cs="Arial"/>
                    </w:rPr>
                    <w:t xml:space="preserve">  </w:t>
                  </w:r>
                </w:p>
              </w:tc>
              <w:tc>
                <w:tcPr>
                  <w:tcW w:w="0" w:type="auto"/>
                  <w:gridSpan w:val="2"/>
                  <w:hideMark/>
                </w:tcPr>
                <w:p w:rsidR="00642193" w:rsidRDefault="00642193">
                  <w:pPr>
                    <w:rPr>
                      <w:rFonts w:ascii="Arial" w:hAnsi="Arial" w:cs="Arial"/>
                    </w:rPr>
                  </w:pPr>
                  <w:hyperlink r:id="rId4" w:history="1">
                    <w:r>
                      <w:rPr>
                        <w:rStyle w:val="Hipervnculo"/>
                        <w:rFonts w:ascii="Arial" w:hAnsi="Arial" w:cs="Arial"/>
                        <w:b/>
                        <w:bCs/>
                        <w:sz w:val="14"/>
                        <w:szCs w:val="14"/>
                        <w:u w:val="none"/>
                      </w:rPr>
                      <w:t>Régimen Legal de Bogotá D.C.</w:t>
                    </w:r>
                  </w:hyperlink>
                  <w:r>
                    <w:rPr>
                      <w:rFonts w:ascii="Arial" w:hAnsi="Arial" w:cs="Arial"/>
                      <w:color w:val="D39250"/>
                      <w:sz w:val="15"/>
                      <w:szCs w:val="15"/>
                    </w:rPr>
                    <w:t xml:space="preserve">    © Propiedad de la Secretaría General de la Alcaldía Mayor de Bogotá D.C.</w:t>
                  </w:r>
                </w:p>
              </w:tc>
              <w:tc>
                <w:tcPr>
                  <w:tcW w:w="225" w:type="dxa"/>
                  <w:vAlign w:val="bottom"/>
                  <w:hideMark/>
                </w:tcPr>
                <w:p w:rsidR="00642193" w:rsidRDefault="00642193">
                  <w:pPr>
                    <w:rPr>
                      <w:rFonts w:ascii="Arial" w:hAnsi="Arial" w:cs="Arial"/>
                    </w:rPr>
                  </w:pPr>
                  <w:r>
                    <w:rPr>
                      <w:rFonts w:ascii="Arial" w:hAnsi="Arial" w:cs="Arial"/>
                    </w:rPr>
                    <w:t> </w:t>
                  </w:r>
                </w:p>
              </w:tc>
            </w:tr>
            <w:tr w:rsidR="00642193">
              <w:trPr>
                <w:tblCellSpacing w:w="15" w:type="dxa"/>
              </w:trPr>
              <w:tc>
                <w:tcPr>
                  <w:tcW w:w="0" w:type="auto"/>
                  <w:hideMark/>
                </w:tcPr>
                <w:p w:rsidR="00642193" w:rsidRDefault="00642193">
                  <w:pPr>
                    <w:rPr>
                      <w:rFonts w:ascii="Arial" w:hAnsi="Arial" w:cs="Arial"/>
                    </w:rPr>
                  </w:pPr>
                  <w:r>
                    <w:rPr>
                      <w:rFonts w:ascii="Arial" w:hAnsi="Arial" w:cs="Arial"/>
                    </w:rPr>
                    <w:t> </w:t>
                  </w:r>
                </w:p>
              </w:tc>
              <w:tc>
                <w:tcPr>
                  <w:tcW w:w="0" w:type="auto"/>
                  <w:gridSpan w:val="2"/>
                  <w:hideMark/>
                </w:tcPr>
                <w:p w:rsidR="00642193" w:rsidRDefault="00642193">
                  <w:pPr>
                    <w:rPr>
                      <w:rFonts w:ascii="Arial" w:hAnsi="Arial" w:cs="Arial"/>
                    </w:rPr>
                  </w:pPr>
                  <w:r>
                    <w:rPr>
                      <w:rStyle w:val="Textoennegrita"/>
                      <w:rFonts w:ascii="Arial" w:hAnsi="Arial" w:cs="Arial"/>
                      <w:color w:val="A06528"/>
                      <w:sz w:val="20"/>
                      <w:szCs w:val="20"/>
                    </w:rPr>
                    <w:t>Ley 581 de 2000 Nivel Nacional</w:t>
                  </w:r>
                  <w:r>
                    <w:rPr>
                      <w:rFonts w:ascii="Arial" w:hAnsi="Arial" w:cs="Arial"/>
                      <w:color w:val="A06528"/>
                    </w:rPr>
                    <w:t xml:space="preserve"> </w:t>
                  </w:r>
                </w:p>
                <w:p w:rsidR="00642193" w:rsidRDefault="00642193">
                  <w:pPr>
                    <w:rPr>
                      <w:rFonts w:ascii="Arial" w:hAnsi="Arial" w:cs="Arial"/>
                    </w:rPr>
                  </w:pPr>
                  <w:r>
                    <w:rPr>
                      <w:rFonts w:ascii="Arial" w:hAnsi="Arial" w:cs="Arial"/>
                    </w:rPr>
                    <w:pict>
                      <v:rect id="_x0000_i1025" style="width:0;height:1.5pt" o:hralign="center" o:hrstd="t" o:hr="t" fillcolor="#9d9da1" stroked="f"/>
                    </w:pict>
                  </w:r>
                </w:p>
              </w:tc>
              <w:tc>
                <w:tcPr>
                  <w:tcW w:w="0" w:type="auto"/>
                  <w:vAlign w:val="center"/>
                  <w:hideMark/>
                </w:tcPr>
                <w:p w:rsidR="00642193" w:rsidRDefault="00642193">
                  <w:pPr>
                    <w:rPr>
                      <w:rFonts w:ascii="Arial" w:hAnsi="Arial" w:cs="Arial"/>
                    </w:rPr>
                  </w:pPr>
                  <w:r>
                    <w:rPr>
                      <w:rFonts w:ascii="Arial" w:hAnsi="Arial" w:cs="Arial"/>
                    </w:rPr>
                    <w:t> </w:t>
                  </w:r>
                </w:p>
              </w:tc>
            </w:tr>
            <w:tr w:rsidR="00642193">
              <w:trPr>
                <w:tblCellSpacing w:w="15" w:type="dxa"/>
              </w:trPr>
              <w:tc>
                <w:tcPr>
                  <w:tcW w:w="0" w:type="auto"/>
                  <w:hideMark/>
                </w:tcPr>
                <w:p w:rsidR="00642193" w:rsidRDefault="00642193">
                  <w:pPr>
                    <w:rPr>
                      <w:rFonts w:ascii="Arial" w:hAnsi="Arial" w:cs="Arial"/>
                    </w:rPr>
                  </w:pPr>
                  <w:r>
                    <w:rPr>
                      <w:rFonts w:ascii="Arial" w:hAnsi="Arial" w:cs="Arial"/>
                    </w:rPr>
                    <w:t> </w:t>
                  </w:r>
                </w:p>
              </w:tc>
              <w:tc>
                <w:tcPr>
                  <w:tcW w:w="0" w:type="auto"/>
                  <w:hideMark/>
                </w:tcPr>
                <w:p w:rsidR="00642193" w:rsidRDefault="00642193">
                  <w:pPr>
                    <w:rPr>
                      <w:rFonts w:ascii="Arial" w:hAnsi="Arial" w:cs="Arial"/>
                    </w:rPr>
                  </w:pPr>
                  <w:r>
                    <w:rPr>
                      <w:rStyle w:val="Textoennegrita"/>
                      <w:rFonts w:ascii="Arial" w:hAnsi="Arial" w:cs="Arial"/>
                      <w:color w:val="A06528"/>
                      <w:sz w:val="20"/>
                      <w:szCs w:val="20"/>
                    </w:rPr>
                    <w:t xml:space="preserve">Fecha de Expedición: </w:t>
                  </w:r>
                </w:p>
              </w:tc>
              <w:tc>
                <w:tcPr>
                  <w:tcW w:w="0" w:type="auto"/>
                  <w:hideMark/>
                </w:tcPr>
                <w:p w:rsidR="00642193" w:rsidRDefault="00642193">
                  <w:pPr>
                    <w:rPr>
                      <w:rFonts w:ascii="Arial" w:hAnsi="Arial" w:cs="Arial"/>
                    </w:rPr>
                  </w:pPr>
                  <w:r>
                    <w:rPr>
                      <w:rFonts w:ascii="Arial" w:hAnsi="Arial" w:cs="Arial"/>
                      <w:color w:val="A06528"/>
                      <w:sz w:val="20"/>
                      <w:szCs w:val="20"/>
                    </w:rPr>
                    <w:t>31/05/2000</w:t>
                  </w:r>
                </w:p>
              </w:tc>
              <w:tc>
                <w:tcPr>
                  <w:tcW w:w="0" w:type="auto"/>
                  <w:vAlign w:val="center"/>
                  <w:hideMark/>
                </w:tcPr>
                <w:p w:rsidR="00642193" w:rsidRDefault="00642193">
                  <w:pPr>
                    <w:rPr>
                      <w:rFonts w:ascii="Arial" w:hAnsi="Arial" w:cs="Arial"/>
                    </w:rPr>
                  </w:pPr>
                  <w:r>
                    <w:rPr>
                      <w:rFonts w:ascii="Arial" w:hAnsi="Arial" w:cs="Arial"/>
                    </w:rPr>
                    <w:t> </w:t>
                  </w:r>
                </w:p>
              </w:tc>
            </w:tr>
            <w:tr w:rsidR="00642193">
              <w:trPr>
                <w:tblCellSpacing w:w="15" w:type="dxa"/>
              </w:trPr>
              <w:tc>
                <w:tcPr>
                  <w:tcW w:w="0" w:type="auto"/>
                  <w:shd w:val="clear" w:color="auto" w:fill="EFE4CF"/>
                  <w:hideMark/>
                </w:tcPr>
                <w:p w:rsidR="00642193" w:rsidRDefault="00642193">
                  <w:pPr>
                    <w:rPr>
                      <w:rFonts w:ascii="Arial" w:hAnsi="Arial" w:cs="Arial"/>
                    </w:rPr>
                  </w:pPr>
                  <w:r>
                    <w:rPr>
                      <w:rFonts w:ascii="Arial" w:hAnsi="Arial" w:cs="Arial"/>
                    </w:rPr>
                    <w:t> </w:t>
                  </w:r>
                </w:p>
              </w:tc>
              <w:tc>
                <w:tcPr>
                  <w:tcW w:w="0" w:type="auto"/>
                  <w:shd w:val="clear" w:color="auto" w:fill="EFE4CF"/>
                  <w:vAlign w:val="center"/>
                  <w:hideMark/>
                </w:tcPr>
                <w:p w:rsidR="00642193" w:rsidRDefault="00642193">
                  <w:pPr>
                    <w:rPr>
                      <w:rFonts w:ascii="Arial" w:hAnsi="Arial" w:cs="Arial"/>
                    </w:rPr>
                  </w:pPr>
                  <w:r>
                    <w:rPr>
                      <w:rStyle w:val="Textoennegrita"/>
                      <w:rFonts w:ascii="Arial" w:hAnsi="Arial" w:cs="Arial"/>
                      <w:color w:val="A06528"/>
                      <w:sz w:val="20"/>
                      <w:szCs w:val="20"/>
                    </w:rPr>
                    <w:t>Fecha de Entrada en Vigencia:</w:t>
                  </w:r>
                </w:p>
              </w:tc>
              <w:tc>
                <w:tcPr>
                  <w:tcW w:w="0" w:type="auto"/>
                  <w:shd w:val="clear" w:color="auto" w:fill="EFE4CF"/>
                  <w:vAlign w:val="center"/>
                  <w:hideMark/>
                </w:tcPr>
                <w:p w:rsidR="00642193" w:rsidRDefault="00642193">
                  <w:pPr>
                    <w:rPr>
                      <w:rFonts w:ascii="Arial" w:hAnsi="Arial" w:cs="Arial"/>
                    </w:rPr>
                  </w:pPr>
                </w:p>
              </w:tc>
              <w:tc>
                <w:tcPr>
                  <w:tcW w:w="0" w:type="auto"/>
                  <w:shd w:val="clear" w:color="auto" w:fill="EFE4CF"/>
                  <w:vAlign w:val="center"/>
                  <w:hideMark/>
                </w:tcPr>
                <w:p w:rsidR="00642193" w:rsidRDefault="00642193">
                  <w:pPr>
                    <w:rPr>
                      <w:rFonts w:ascii="Arial" w:hAnsi="Arial" w:cs="Arial"/>
                    </w:rPr>
                  </w:pPr>
                  <w:r>
                    <w:rPr>
                      <w:rFonts w:ascii="Arial" w:hAnsi="Arial" w:cs="Arial"/>
                    </w:rPr>
                    <w:t> </w:t>
                  </w:r>
                </w:p>
              </w:tc>
            </w:tr>
            <w:tr w:rsidR="00642193">
              <w:trPr>
                <w:tblCellSpacing w:w="15" w:type="dxa"/>
              </w:trPr>
              <w:tc>
                <w:tcPr>
                  <w:tcW w:w="0" w:type="auto"/>
                  <w:hideMark/>
                </w:tcPr>
                <w:p w:rsidR="00642193" w:rsidRDefault="00642193">
                  <w:pPr>
                    <w:rPr>
                      <w:rFonts w:ascii="Arial" w:hAnsi="Arial" w:cs="Arial"/>
                    </w:rPr>
                  </w:pPr>
                  <w:r>
                    <w:rPr>
                      <w:rFonts w:ascii="Arial" w:hAnsi="Arial" w:cs="Arial"/>
                    </w:rPr>
                    <w:t> </w:t>
                  </w:r>
                </w:p>
              </w:tc>
              <w:tc>
                <w:tcPr>
                  <w:tcW w:w="0" w:type="auto"/>
                  <w:hideMark/>
                </w:tcPr>
                <w:p w:rsidR="00642193" w:rsidRDefault="00642193">
                  <w:pPr>
                    <w:rPr>
                      <w:rFonts w:ascii="Arial" w:hAnsi="Arial" w:cs="Arial"/>
                    </w:rPr>
                  </w:pPr>
                  <w:r>
                    <w:rPr>
                      <w:rStyle w:val="Textoennegrita"/>
                      <w:rFonts w:ascii="Arial" w:hAnsi="Arial" w:cs="Arial"/>
                      <w:color w:val="A06528"/>
                      <w:sz w:val="20"/>
                      <w:szCs w:val="20"/>
                    </w:rPr>
                    <w:t>Medio de Publicación:</w:t>
                  </w:r>
                </w:p>
              </w:tc>
              <w:tc>
                <w:tcPr>
                  <w:tcW w:w="0" w:type="auto"/>
                  <w:hideMark/>
                </w:tcPr>
                <w:p w:rsidR="00642193" w:rsidRDefault="00642193">
                  <w:pPr>
                    <w:rPr>
                      <w:rFonts w:ascii="Arial" w:hAnsi="Arial" w:cs="Arial"/>
                    </w:rPr>
                  </w:pPr>
                  <w:r>
                    <w:rPr>
                      <w:rFonts w:ascii="Arial" w:hAnsi="Arial" w:cs="Arial"/>
                      <w:color w:val="A06528"/>
                      <w:sz w:val="20"/>
                      <w:szCs w:val="20"/>
                    </w:rPr>
                    <w:t xml:space="preserve">DIARIO OFICIAL No. 44.026 del 31 de mayo de 2000 </w:t>
                  </w:r>
                </w:p>
              </w:tc>
              <w:tc>
                <w:tcPr>
                  <w:tcW w:w="225" w:type="dxa"/>
                  <w:vAlign w:val="center"/>
                  <w:hideMark/>
                </w:tcPr>
                <w:p w:rsidR="00642193" w:rsidRDefault="00642193">
                  <w:pPr>
                    <w:rPr>
                      <w:rFonts w:ascii="Arial" w:hAnsi="Arial" w:cs="Arial"/>
                    </w:rPr>
                  </w:pPr>
                  <w:r>
                    <w:rPr>
                      <w:rFonts w:ascii="Arial" w:hAnsi="Arial" w:cs="Arial"/>
                    </w:rPr>
                    <w:t> </w:t>
                  </w:r>
                </w:p>
              </w:tc>
            </w:tr>
          </w:tbl>
          <w:p w:rsidR="00642193" w:rsidRDefault="00642193">
            <w:pPr>
              <w:rPr>
                <w:rFonts w:ascii="Arial" w:hAnsi="Arial" w:cs="Arial"/>
              </w:rPr>
            </w:pPr>
          </w:p>
        </w:tc>
      </w:tr>
    </w:tbl>
    <w:p w:rsidR="00642193" w:rsidRDefault="00642193" w:rsidP="00642193">
      <w:pPr>
        <w:pStyle w:val="NormalWeb"/>
        <w:rPr>
          <w:rFonts w:ascii="Arial" w:hAnsi="Arial" w:cs="Arial"/>
        </w:rPr>
      </w:pPr>
      <w:r>
        <w:rPr>
          <w:rFonts w:ascii="Arial" w:hAnsi="Arial" w:cs="Arial"/>
        </w:rPr>
        <w:t xml:space="preserve">  </w:t>
      </w:r>
    </w:p>
    <w:tbl>
      <w:tblPr>
        <w:tblW w:w="4500" w:type="pct"/>
        <w:jc w:val="center"/>
        <w:tblCellSpacing w:w="0" w:type="dxa"/>
        <w:tblCellMar>
          <w:left w:w="0" w:type="dxa"/>
          <w:right w:w="0" w:type="dxa"/>
        </w:tblCellMar>
        <w:tblLook w:val="04A0"/>
      </w:tblPr>
      <w:tblGrid>
        <w:gridCol w:w="7654"/>
      </w:tblGrid>
      <w:tr w:rsidR="00642193" w:rsidTr="00642193">
        <w:trPr>
          <w:tblCellSpacing w:w="0" w:type="dxa"/>
          <w:jc w:val="center"/>
        </w:trPr>
        <w:tc>
          <w:tcPr>
            <w:tcW w:w="0" w:type="auto"/>
            <w:vAlign w:val="bottom"/>
            <w:hideMark/>
          </w:tcPr>
          <w:tbl>
            <w:tblPr>
              <w:tblW w:w="0" w:type="auto"/>
              <w:jc w:val="right"/>
              <w:tblCellSpacing w:w="0" w:type="dxa"/>
              <w:tblCellMar>
                <w:left w:w="0" w:type="dxa"/>
                <w:right w:w="0" w:type="dxa"/>
              </w:tblCellMar>
              <w:tblLook w:val="04A0"/>
            </w:tblPr>
            <w:tblGrid>
              <w:gridCol w:w="2386"/>
            </w:tblGrid>
            <w:tr w:rsidR="00642193">
              <w:trPr>
                <w:tblCellSpacing w:w="0" w:type="dxa"/>
                <w:jc w:val="right"/>
              </w:trPr>
              <w:tc>
                <w:tcPr>
                  <w:tcW w:w="0" w:type="auto"/>
                  <w:vAlign w:val="center"/>
                  <w:hideMark/>
                </w:tcPr>
                <w:tbl>
                  <w:tblPr>
                    <w:tblW w:w="0" w:type="auto"/>
                    <w:tblCellSpacing w:w="0" w:type="dxa"/>
                    <w:tblCellMar>
                      <w:left w:w="0" w:type="dxa"/>
                      <w:right w:w="0" w:type="dxa"/>
                    </w:tblCellMar>
                    <w:tblLook w:val="04A0"/>
                  </w:tblPr>
                  <w:tblGrid>
                    <w:gridCol w:w="191"/>
                    <w:gridCol w:w="1948"/>
                    <w:gridCol w:w="180"/>
                    <w:gridCol w:w="67"/>
                  </w:tblGrid>
                  <w:tr w:rsidR="00642193">
                    <w:trPr>
                      <w:tblCellSpacing w:w="0" w:type="dxa"/>
                    </w:trPr>
                    <w:tc>
                      <w:tcPr>
                        <w:tcW w:w="0" w:type="auto"/>
                        <w:shd w:val="clear" w:color="auto" w:fill="693427"/>
                        <w:hideMark/>
                      </w:tcPr>
                      <w:p w:rsidR="00642193" w:rsidRDefault="00642193">
                        <w:pPr>
                          <w:rPr>
                            <w:rFonts w:ascii="Arial" w:hAnsi="Arial" w:cs="Arial"/>
                          </w:rPr>
                        </w:pPr>
                        <w:r>
                          <w:rPr>
                            <w:rFonts w:ascii="Arial" w:hAnsi="Arial" w:cs="Arial"/>
                            <w:noProof/>
                          </w:rPr>
                          <w:drawing>
                            <wp:inline distT="0" distB="0" distL="0" distR="0">
                              <wp:extent cx="102235" cy="179705"/>
                              <wp:effectExtent l="19050" t="0" r="0" b="0"/>
                              <wp:docPr id="2" name="Imagen 2" descr="http://www.alcaldiabogota.gov.co/sisjur/images/FFFFFF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caldiabogota.gov.co/sisjur/images/FFFFFFtl.gif"/>
                                      <pic:cNvPicPr>
                                        <a:picLocks noChangeAspect="1" noChangeArrowheads="1"/>
                                      </pic:cNvPicPr>
                                    </pic:nvPicPr>
                                    <pic:blipFill>
                                      <a:blip r:embed="rId5"/>
                                      <a:srcRect/>
                                      <a:stretch>
                                        <a:fillRect/>
                                      </a:stretch>
                                    </pic:blipFill>
                                    <pic:spPr bwMode="auto">
                                      <a:xfrm>
                                        <a:off x="0" y="0"/>
                                        <a:ext cx="102235" cy="179705"/>
                                      </a:xfrm>
                                      <a:prstGeom prst="rect">
                                        <a:avLst/>
                                      </a:prstGeom>
                                      <a:noFill/>
                                      <a:ln w="9525">
                                        <a:noFill/>
                                        <a:miter lim="800000"/>
                                        <a:headEnd/>
                                        <a:tailEnd/>
                                      </a:ln>
                                    </pic:spPr>
                                  </pic:pic>
                                </a:graphicData>
                              </a:graphic>
                            </wp:inline>
                          </w:drawing>
                        </w:r>
                      </w:p>
                    </w:tc>
                    <w:tc>
                      <w:tcPr>
                        <w:tcW w:w="0" w:type="auto"/>
                        <w:shd w:val="clear" w:color="auto" w:fill="693427"/>
                        <w:noWrap/>
                        <w:vAlign w:val="bottom"/>
                        <w:hideMark/>
                      </w:tcPr>
                      <w:p w:rsidR="00642193" w:rsidRDefault="00642193">
                        <w:pPr>
                          <w:jc w:val="right"/>
                          <w:rPr>
                            <w:rFonts w:ascii="Arial" w:hAnsi="Arial" w:cs="Arial"/>
                          </w:rPr>
                        </w:pPr>
                        <w:hyperlink r:id="rId6" w:tgtFrame="_blank" w:history="1">
                          <w:r>
                            <w:rPr>
                              <w:rStyle w:val="Hipervnculo"/>
                              <w:rFonts w:ascii="Arial" w:hAnsi="Arial" w:cs="Arial"/>
                              <w:b/>
                              <w:bCs/>
                              <w:color w:val="FFFFFF"/>
                              <w:sz w:val="16"/>
                              <w:szCs w:val="16"/>
                            </w:rPr>
                            <w:t>Ver temas del documento</w:t>
                          </w:r>
                        </w:hyperlink>
                        <w:r>
                          <w:rPr>
                            <w:rFonts w:ascii="Arial" w:hAnsi="Arial" w:cs="Arial"/>
                          </w:rPr>
                          <w:t xml:space="preserve"> </w:t>
                        </w:r>
                      </w:p>
                    </w:tc>
                    <w:tc>
                      <w:tcPr>
                        <w:tcW w:w="0" w:type="auto"/>
                        <w:shd w:val="clear" w:color="auto" w:fill="693427"/>
                        <w:hideMark/>
                      </w:tcPr>
                      <w:p w:rsidR="00642193" w:rsidRDefault="00642193">
                        <w:pPr>
                          <w:jc w:val="right"/>
                          <w:rPr>
                            <w:rFonts w:ascii="Arial" w:hAnsi="Arial" w:cs="Arial"/>
                          </w:rPr>
                        </w:pPr>
                        <w:r>
                          <w:rPr>
                            <w:rFonts w:ascii="Arial" w:hAnsi="Arial" w:cs="Arial"/>
                            <w:noProof/>
                          </w:rPr>
                          <w:drawing>
                            <wp:inline distT="0" distB="0" distL="0" distR="0">
                              <wp:extent cx="93980" cy="179705"/>
                              <wp:effectExtent l="19050" t="0" r="1270" b="0"/>
                              <wp:docPr id="3" name="Imagen 3" descr="http://www.alcaldiabogota.gov.co/sisjur/images/FFFFFF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caldiabogota.gov.co/sisjur/images/FFFFFFtr.gif"/>
                                      <pic:cNvPicPr>
                                        <a:picLocks noChangeAspect="1" noChangeArrowheads="1"/>
                                      </pic:cNvPicPr>
                                    </pic:nvPicPr>
                                    <pic:blipFill>
                                      <a:blip r:embed="rId7"/>
                                      <a:srcRect/>
                                      <a:stretch>
                                        <a:fillRect/>
                                      </a:stretch>
                                    </pic:blipFill>
                                    <pic:spPr bwMode="auto">
                                      <a:xfrm>
                                        <a:off x="0" y="0"/>
                                        <a:ext cx="93980" cy="179705"/>
                                      </a:xfrm>
                                      <a:prstGeom prst="rect">
                                        <a:avLst/>
                                      </a:prstGeom>
                                      <a:noFill/>
                                      <a:ln w="9525">
                                        <a:noFill/>
                                        <a:miter lim="800000"/>
                                        <a:headEnd/>
                                        <a:tailEnd/>
                                      </a:ln>
                                    </pic:spPr>
                                  </pic:pic>
                                </a:graphicData>
                              </a:graphic>
                            </wp:inline>
                          </w:drawing>
                        </w:r>
                      </w:p>
                    </w:tc>
                    <w:tc>
                      <w:tcPr>
                        <w:tcW w:w="0" w:type="auto"/>
                        <w:vAlign w:val="bottom"/>
                        <w:hideMark/>
                      </w:tcPr>
                      <w:p w:rsidR="00642193" w:rsidRDefault="00642193">
                        <w:pPr>
                          <w:rPr>
                            <w:rFonts w:ascii="Arial" w:hAnsi="Arial" w:cs="Arial"/>
                          </w:rPr>
                        </w:pPr>
                        <w:r>
                          <w:rPr>
                            <w:rFonts w:ascii="Arial" w:hAnsi="Arial" w:cs="Arial"/>
                          </w:rPr>
                          <w:t> </w:t>
                        </w:r>
                      </w:p>
                    </w:tc>
                  </w:tr>
                </w:tbl>
                <w:p w:rsidR="00642193" w:rsidRDefault="00642193">
                  <w:pPr>
                    <w:rPr>
                      <w:rFonts w:ascii="Arial" w:hAnsi="Arial" w:cs="Arial"/>
                    </w:rPr>
                  </w:pPr>
                </w:p>
              </w:tc>
            </w:tr>
          </w:tbl>
          <w:p w:rsidR="00642193" w:rsidRDefault="00642193">
            <w:pPr>
              <w:jc w:val="right"/>
              <w:rPr>
                <w:rFonts w:ascii="Arial" w:hAnsi="Arial" w:cs="Arial"/>
              </w:rPr>
            </w:pPr>
          </w:p>
        </w:tc>
      </w:tr>
      <w:tr w:rsidR="00642193" w:rsidTr="00642193">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229"/>
              <w:gridCol w:w="6889"/>
              <w:gridCol w:w="459"/>
              <w:gridCol w:w="77"/>
            </w:tblGrid>
            <w:tr w:rsidR="00642193">
              <w:trPr>
                <w:tblCellSpacing w:w="0" w:type="dxa"/>
              </w:trPr>
              <w:tc>
                <w:tcPr>
                  <w:tcW w:w="150" w:type="pct"/>
                  <w:shd w:val="clear" w:color="auto" w:fill="693427"/>
                  <w:vAlign w:val="center"/>
                  <w:hideMark/>
                </w:tcPr>
                <w:p w:rsidR="00642193" w:rsidRDefault="00642193">
                  <w:pPr>
                    <w:rPr>
                      <w:rFonts w:ascii="Arial" w:hAnsi="Arial" w:cs="Arial"/>
                    </w:rPr>
                  </w:pPr>
                  <w:r>
                    <w:rPr>
                      <w:rFonts w:ascii="Arial" w:hAnsi="Arial" w:cs="Arial"/>
                    </w:rPr>
                    <w:t> </w:t>
                  </w:r>
                </w:p>
              </w:tc>
              <w:tc>
                <w:tcPr>
                  <w:tcW w:w="4500" w:type="pct"/>
                  <w:shd w:val="clear" w:color="auto" w:fill="693427"/>
                  <w:vAlign w:val="center"/>
                  <w:hideMark/>
                </w:tcPr>
                <w:p w:rsidR="00642193" w:rsidRDefault="00642193">
                  <w:pPr>
                    <w:rPr>
                      <w:rFonts w:ascii="Arial" w:hAnsi="Arial" w:cs="Arial"/>
                    </w:rPr>
                  </w:pPr>
                  <w:r>
                    <w:rPr>
                      <w:rFonts w:ascii="Arial" w:hAnsi="Arial" w:cs="Arial"/>
                      <w:b/>
                      <w:bCs/>
                      <w:color w:val="FFFFFF"/>
                      <w:sz w:val="22"/>
                      <w:szCs w:val="22"/>
                    </w:rPr>
                    <w:t>Contenido del Documento</w:t>
                  </w:r>
                </w:p>
              </w:tc>
              <w:tc>
                <w:tcPr>
                  <w:tcW w:w="300" w:type="pct"/>
                  <w:shd w:val="clear" w:color="auto" w:fill="693427"/>
                  <w:vAlign w:val="center"/>
                  <w:hideMark/>
                </w:tcPr>
                <w:p w:rsidR="00642193" w:rsidRDefault="00642193">
                  <w:pPr>
                    <w:jc w:val="right"/>
                    <w:rPr>
                      <w:rFonts w:ascii="Arial" w:hAnsi="Arial" w:cs="Arial"/>
                    </w:rPr>
                  </w:pPr>
                  <w:r>
                    <w:rPr>
                      <w:rFonts w:ascii="Arial" w:hAnsi="Arial" w:cs="Arial"/>
                    </w:rPr>
                    <w:t> </w:t>
                  </w:r>
                </w:p>
              </w:tc>
              <w:tc>
                <w:tcPr>
                  <w:tcW w:w="0" w:type="auto"/>
                  <w:shd w:val="clear" w:color="auto" w:fill="693427"/>
                  <w:vAlign w:val="center"/>
                  <w:hideMark/>
                </w:tcPr>
                <w:p w:rsidR="00642193" w:rsidRDefault="00642193">
                  <w:pPr>
                    <w:rPr>
                      <w:rFonts w:ascii="Arial" w:hAnsi="Arial" w:cs="Arial"/>
                    </w:rPr>
                  </w:pPr>
                  <w:r>
                    <w:rPr>
                      <w:rFonts w:ascii="Arial" w:hAnsi="Arial" w:cs="Arial"/>
                    </w:rPr>
                    <w:t> </w:t>
                  </w:r>
                </w:p>
              </w:tc>
            </w:tr>
          </w:tbl>
          <w:p w:rsidR="00642193" w:rsidRDefault="00642193">
            <w:pPr>
              <w:rPr>
                <w:rFonts w:ascii="Arial" w:hAnsi="Arial" w:cs="Arial"/>
              </w:rPr>
            </w:pPr>
          </w:p>
        </w:tc>
      </w:tr>
      <w:tr w:rsidR="00642193" w:rsidTr="00642193">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450"/>
              <w:gridCol w:w="2430"/>
              <w:gridCol w:w="4774"/>
            </w:tblGrid>
            <w:tr w:rsidR="00642193">
              <w:trPr>
                <w:tblCellSpacing w:w="0" w:type="dxa"/>
              </w:trPr>
              <w:tc>
                <w:tcPr>
                  <w:tcW w:w="0" w:type="auto"/>
                  <w:vMerge w:val="restart"/>
                  <w:hideMark/>
                </w:tcPr>
                <w:tbl>
                  <w:tblPr>
                    <w:tblW w:w="0" w:type="auto"/>
                    <w:tblCellSpacing w:w="0" w:type="dxa"/>
                    <w:tblCellMar>
                      <w:left w:w="0" w:type="dxa"/>
                      <w:right w:w="0" w:type="dxa"/>
                    </w:tblCellMar>
                    <w:tblLook w:val="04A0"/>
                  </w:tblPr>
                  <w:tblGrid>
                    <w:gridCol w:w="450"/>
                  </w:tblGrid>
                  <w:tr w:rsidR="00642193">
                    <w:trPr>
                      <w:tblCellSpacing w:w="0" w:type="dxa"/>
                    </w:trPr>
                    <w:tc>
                      <w:tcPr>
                        <w:tcW w:w="0" w:type="auto"/>
                        <w:shd w:val="clear" w:color="auto" w:fill="693427"/>
                        <w:hideMark/>
                      </w:tcPr>
                      <w:p w:rsidR="00642193" w:rsidRDefault="00642193">
                        <w:pPr>
                          <w:rPr>
                            <w:rFonts w:ascii="Arial" w:hAnsi="Arial" w:cs="Arial"/>
                          </w:rPr>
                        </w:pPr>
                        <w:r>
                          <w:rPr>
                            <w:rFonts w:ascii="Arial" w:hAnsi="Arial" w:cs="Arial"/>
                            <w:noProof/>
                          </w:rPr>
                          <w:drawing>
                            <wp:inline distT="0" distB="0" distL="0" distR="0">
                              <wp:extent cx="281940" cy="153670"/>
                              <wp:effectExtent l="0" t="0" r="3810" b="0"/>
                              <wp:docPr id="4" name="Imagen 4" descr="http://www.alcaldiabogota.gov.co/sisjur/images/FFFFFF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caldiabogota.gov.co/sisjur/images/FFFFFFsl.gif"/>
                                      <pic:cNvPicPr>
                                        <a:picLocks noChangeAspect="1" noChangeArrowheads="1"/>
                                      </pic:cNvPicPr>
                                    </pic:nvPicPr>
                                    <pic:blipFill>
                                      <a:blip r:embed="rId8"/>
                                      <a:srcRect/>
                                      <a:stretch>
                                        <a:fillRect/>
                                      </a:stretch>
                                    </pic:blipFill>
                                    <pic:spPr bwMode="auto">
                                      <a:xfrm>
                                        <a:off x="0" y="0"/>
                                        <a:ext cx="281940" cy="153670"/>
                                      </a:xfrm>
                                      <a:prstGeom prst="rect">
                                        <a:avLst/>
                                      </a:prstGeom>
                                      <a:noFill/>
                                      <a:ln w="9525">
                                        <a:noFill/>
                                        <a:miter lim="800000"/>
                                        <a:headEnd/>
                                        <a:tailEnd/>
                                      </a:ln>
                                    </pic:spPr>
                                  </pic:pic>
                                </a:graphicData>
                              </a:graphic>
                            </wp:inline>
                          </w:drawing>
                        </w:r>
                      </w:p>
                    </w:tc>
                  </w:tr>
                </w:tbl>
                <w:p w:rsidR="00642193" w:rsidRDefault="00642193">
                  <w:pPr>
                    <w:rPr>
                      <w:rFonts w:ascii="Arial" w:hAnsi="Arial" w:cs="Arial"/>
                    </w:rPr>
                  </w:pPr>
                </w:p>
              </w:tc>
              <w:tc>
                <w:tcPr>
                  <w:tcW w:w="0" w:type="auto"/>
                  <w:vMerge w:val="restart"/>
                  <w:hideMark/>
                </w:tcPr>
                <w:p w:rsidR="00642193" w:rsidRDefault="00642193">
                  <w:pPr>
                    <w:rPr>
                      <w:rFonts w:ascii="Arial" w:hAnsi="Arial" w:cs="Arial"/>
                    </w:rPr>
                  </w:pPr>
                  <w:r>
                    <w:rPr>
                      <w:rFonts w:ascii="Arial" w:hAnsi="Arial" w:cs="Arial"/>
                      <w:noProof/>
                    </w:rPr>
                    <w:drawing>
                      <wp:inline distT="0" distB="0" distL="0" distR="0">
                        <wp:extent cx="1521460" cy="572770"/>
                        <wp:effectExtent l="19050" t="0" r="2540" b="0"/>
                        <wp:docPr id="5" name="Imagen 5" descr="http://www.alcaldiabogota.gov.co/sisjur/images/comp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caldiabogota.gov.co/sisjur/images/compedit.jpg"/>
                                <pic:cNvPicPr>
                                  <a:picLocks noChangeAspect="1" noChangeArrowheads="1"/>
                                </pic:cNvPicPr>
                              </pic:nvPicPr>
                              <pic:blipFill>
                                <a:blip r:embed="rId9"/>
                                <a:srcRect/>
                                <a:stretch>
                                  <a:fillRect/>
                                </a:stretch>
                              </pic:blipFill>
                              <pic:spPr bwMode="auto">
                                <a:xfrm>
                                  <a:off x="0" y="0"/>
                                  <a:ext cx="1521460" cy="572770"/>
                                </a:xfrm>
                                <a:prstGeom prst="rect">
                                  <a:avLst/>
                                </a:prstGeom>
                                <a:noFill/>
                                <a:ln w="9525">
                                  <a:noFill/>
                                  <a:miter lim="800000"/>
                                  <a:headEnd/>
                                  <a:tailEnd/>
                                </a:ln>
                              </pic:spPr>
                            </pic:pic>
                          </a:graphicData>
                        </a:graphic>
                      </wp:inline>
                    </w:drawing>
                  </w:r>
                </w:p>
              </w:tc>
              <w:tc>
                <w:tcPr>
                  <w:tcW w:w="5000" w:type="pct"/>
                  <w:hideMark/>
                </w:tcPr>
                <w:p w:rsidR="00642193" w:rsidRDefault="00642193">
                  <w:pPr>
                    <w:jc w:val="right"/>
                    <w:rPr>
                      <w:rFonts w:ascii="Arial" w:hAnsi="Arial" w:cs="Arial"/>
                    </w:rPr>
                  </w:pPr>
                  <w:r>
                    <w:rPr>
                      <w:rFonts w:ascii="Arial" w:hAnsi="Arial" w:cs="Arial"/>
                    </w:rPr>
                    <w:t xml:space="preserve">  </w:t>
                  </w:r>
                </w:p>
              </w:tc>
            </w:tr>
            <w:tr w:rsidR="00642193">
              <w:trPr>
                <w:gridAfter w:val="1"/>
                <w:wAfter w:w="960" w:type="dxa"/>
                <w:trHeight w:val="276"/>
                <w:tblCellSpacing w:w="0" w:type="dxa"/>
              </w:trPr>
              <w:tc>
                <w:tcPr>
                  <w:tcW w:w="0" w:type="auto"/>
                  <w:vMerge/>
                  <w:vAlign w:val="center"/>
                  <w:hideMark/>
                </w:tcPr>
                <w:p w:rsidR="00642193" w:rsidRDefault="00642193">
                  <w:pPr>
                    <w:rPr>
                      <w:rFonts w:ascii="Arial" w:hAnsi="Arial" w:cs="Arial"/>
                    </w:rPr>
                  </w:pPr>
                </w:p>
              </w:tc>
              <w:tc>
                <w:tcPr>
                  <w:tcW w:w="0" w:type="auto"/>
                  <w:vMerge/>
                  <w:vAlign w:val="center"/>
                  <w:hideMark/>
                </w:tcPr>
                <w:p w:rsidR="00642193" w:rsidRDefault="00642193">
                  <w:pPr>
                    <w:rPr>
                      <w:rFonts w:ascii="Arial" w:hAnsi="Arial" w:cs="Arial"/>
                    </w:rPr>
                  </w:pPr>
                </w:p>
              </w:tc>
            </w:tr>
          </w:tbl>
          <w:p w:rsidR="00642193" w:rsidRDefault="00642193">
            <w:pPr>
              <w:rPr>
                <w:rFonts w:ascii="Arial" w:hAnsi="Arial" w:cs="Arial"/>
              </w:rPr>
            </w:pPr>
          </w:p>
        </w:tc>
      </w:tr>
    </w:tbl>
    <w:p w:rsidR="00642193" w:rsidRDefault="00642193" w:rsidP="00642193">
      <w:pPr>
        <w:pStyle w:val="NormalWeb"/>
        <w:jc w:val="center"/>
        <w:rPr>
          <w:rFonts w:ascii="Arial" w:hAnsi="Arial" w:cs="Arial"/>
          <w:b/>
          <w:bCs/>
        </w:rPr>
      </w:pPr>
      <w:r>
        <w:rPr>
          <w:rFonts w:ascii="Arial" w:hAnsi="Arial" w:cs="Arial"/>
        </w:rPr>
        <w:pict/>
      </w:r>
      <w:r>
        <w:rPr>
          <w:rFonts w:ascii="Arial" w:hAnsi="Arial" w:cs="Arial"/>
        </w:rPr>
        <w:pict/>
      </w:r>
      <w:r>
        <w:rPr>
          <w:rFonts w:ascii="Arial" w:hAnsi="Arial" w:cs="Arial"/>
        </w:rPr>
        <w:pict/>
      </w:r>
      <w:r>
        <w:rPr>
          <w:rFonts w:ascii="Arial" w:hAnsi="Arial" w:cs="Arial"/>
        </w:rPr>
        <w:pict/>
      </w:r>
      <w:r>
        <w:rPr>
          <w:rFonts w:ascii="Arial" w:hAnsi="Arial" w:cs="Arial"/>
        </w:rPr>
        <w:pict/>
      </w:r>
      <w:r>
        <w:rPr>
          <w:rFonts w:ascii="Arial" w:hAnsi="Arial" w:cs="Arial"/>
          <w:b/>
          <w:bCs/>
        </w:rPr>
        <w:t>LEY 581 DE 2000</w:t>
      </w:r>
    </w:p>
    <w:p w:rsidR="00642193" w:rsidRDefault="00642193" w:rsidP="00642193">
      <w:pPr>
        <w:pStyle w:val="NormalWeb"/>
        <w:jc w:val="center"/>
        <w:rPr>
          <w:rFonts w:ascii="Arial" w:hAnsi="Arial" w:cs="Arial"/>
        </w:rPr>
      </w:pPr>
      <w:r>
        <w:rPr>
          <w:rFonts w:ascii="Arial" w:hAnsi="Arial" w:cs="Arial"/>
        </w:rPr>
        <w:t>(</w:t>
      </w:r>
      <w:proofErr w:type="gramStart"/>
      <w:r>
        <w:rPr>
          <w:rFonts w:ascii="Arial" w:hAnsi="Arial" w:cs="Arial"/>
        </w:rPr>
        <w:t>mayo</w:t>
      </w:r>
      <w:proofErr w:type="gramEnd"/>
      <w:r>
        <w:rPr>
          <w:rFonts w:ascii="Arial" w:hAnsi="Arial" w:cs="Arial"/>
        </w:rPr>
        <w:t xml:space="preserve"> 31)</w:t>
      </w:r>
    </w:p>
    <w:p w:rsidR="00642193" w:rsidRDefault="00642193" w:rsidP="00642193">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la cual se reglamenta la adecuada y efectiva participación de la mujer en los niveles decisorios de las diferentes ramas y órganos del poder público, de conformidad con los artículos 13, 40 y 43 de la Constitución</w:t>
      </w:r>
    </w:p>
    <w:p w:rsidR="00642193" w:rsidRDefault="00642193" w:rsidP="00642193">
      <w:pPr>
        <w:pStyle w:val="NormalWeb"/>
        <w:jc w:val="center"/>
        <w:rPr>
          <w:rFonts w:ascii="Arial" w:hAnsi="Arial" w:cs="Arial"/>
          <w:b/>
          <w:bCs/>
        </w:rPr>
      </w:pPr>
      <w:r>
        <w:rPr>
          <w:rFonts w:ascii="Arial" w:hAnsi="Arial" w:cs="Arial"/>
          <w:b/>
          <w:bCs/>
        </w:rPr>
        <w:t>Nacional y se dictan otras disposiciones.</w:t>
      </w:r>
    </w:p>
    <w:p w:rsidR="00642193" w:rsidRDefault="00642193" w:rsidP="00642193">
      <w:pPr>
        <w:pStyle w:val="NormalWeb"/>
        <w:jc w:val="center"/>
        <w:rPr>
          <w:rFonts w:ascii="Arial" w:hAnsi="Arial" w:cs="Arial"/>
        </w:rPr>
      </w:pPr>
      <w:r>
        <w:rPr>
          <w:rFonts w:ascii="Arial" w:hAnsi="Arial" w:cs="Arial"/>
        </w:rPr>
        <w:t>El Congreso de Colombia</w:t>
      </w:r>
    </w:p>
    <w:p w:rsidR="00642193" w:rsidRDefault="00642193" w:rsidP="00642193">
      <w:pPr>
        <w:pStyle w:val="NormalWeb"/>
        <w:jc w:val="center"/>
        <w:rPr>
          <w:rFonts w:ascii="Arial" w:hAnsi="Arial" w:cs="Arial"/>
          <w:b/>
          <w:bCs/>
        </w:rPr>
      </w:pPr>
      <w:r>
        <w:rPr>
          <w:rFonts w:ascii="Arial" w:hAnsi="Arial" w:cs="Arial"/>
          <w:b/>
          <w:bCs/>
        </w:rPr>
        <w:t>DECRETA:</w:t>
      </w:r>
    </w:p>
    <w:p w:rsidR="00642193" w:rsidRDefault="00642193" w:rsidP="00642193">
      <w:pPr>
        <w:rPr>
          <w:rFonts w:ascii="Arial" w:hAnsi="Arial" w:cs="Arial"/>
          <w:b/>
          <w:bCs/>
        </w:rPr>
      </w:pPr>
      <w:hyperlink r:id="rId10" w:anchor="1" w:history="1">
        <w:r>
          <w:rPr>
            <w:rStyle w:val="Hipervnculo"/>
            <w:rFonts w:ascii="Arial" w:hAnsi="Arial" w:cs="Arial"/>
            <w:b/>
            <w:bCs/>
          </w:rPr>
          <w:t>Ver el fallo del Consejo de Estado 390 de 2001</w:t>
        </w:r>
      </w:hyperlink>
      <w:r>
        <w:rPr>
          <w:rFonts w:ascii="Arial" w:hAnsi="Arial" w:cs="Arial"/>
          <w:b/>
          <w:bCs/>
        </w:rPr>
        <w:t xml:space="preserve">, </w:t>
      </w:r>
      <w:hyperlink r:id="rId11" w:anchor="1" w:history="1">
        <w:r>
          <w:rPr>
            <w:rStyle w:val="Hipervnculo"/>
            <w:rFonts w:ascii="Arial" w:hAnsi="Arial" w:cs="Arial"/>
            <w:b/>
            <w:bCs/>
          </w:rPr>
          <w:t>Ver Decreto Nacional 2200 de 1999</w:t>
        </w:r>
      </w:hyperlink>
      <w:r>
        <w:rPr>
          <w:rFonts w:ascii="Arial" w:hAnsi="Arial" w:cs="Arial"/>
          <w:b/>
          <w:bCs/>
        </w:rPr>
        <w:t xml:space="preserve">, </w:t>
      </w:r>
      <w:hyperlink r:id="rId12" w:anchor="0" w:history="1">
        <w:r>
          <w:rPr>
            <w:rStyle w:val="Hipervnculo"/>
            <w:rFonts w:ascii="Arial" w:hAnsi="Arial" w:cs="Arial"/>
            <w:b/>
            <w:bCs/>
          </w:rPr>
          <w:t>Ver la Ley 1257 de 2008</w:t>
        </w:r>
      </w:hyperlink>
      <w:r>
        <w:rPr>
          <w:rFonts w:ascii="Arial" w:hAnsi="Arial" w:cs="Arial"/>
          <w:b/>
          <w:bCs/>
        </w:rPr>
        <w:t xml:space="preserve"> </w:t>
      </w:r>
    </w:p>
    <w:p w:rsidR="00642193" w:rsidRDefault="00642193" w:rsidP="00642193">
      <w:pPr>
        <w:pStyle w:val="NormalWeb"/>
        <w:rPr>
          <w:rFonts w:ascii="Arial" w:hAnsi="Arial" w:cs="Arial"/>
        </w:rPr>
      </w:pPr>
      <w:r>
        <w:rPr>
          <w:rFonts w:ascii="Arial" w:hAnsi="Arial" w:cs="Arial"/>
          <w:b/>
          <w:bCs/>
        </w:rPr>
        <w:t>ARTÍCULO 1o.</w:t>
      </w:r>
      <w:r>
        <w:rPr>
          <w:rFonts w:ascii="Arial" w:hAnsi="Arial" w:cs="Arial"/>
        </w:rPr>
        <w:t xml:space="preserve"> Finalidad. La presente ley crea los mecanismos para que las autoridades, en cumplimiento de los mandatos constitucionales, le den a la mujer la adecuada y efectiva participación a que tiene derecho en todos los niveles de las ramas y demás órganos del poder público, incluidas las entidades a que se refiere el inciso final del artículo 115 de la Constitución Política de Colombia, y además promuevan esa participación en las instancias de decisión de la sociedad civil.</w:t>
      </w:r>
    </w:p>
    <w:p w:rsidR="00642193" w:rsidRDefault="00642193" w:rsidP="00642193">
      <w:pPr>
        <w:pStyle w:val="NormalWeb"/>
        <w:rPr>
          <w:rFonts w:ascii="Arial" w:hAnsi="Arial" w:cs="Arial"/>
        </w:rPr>
      </w:pPr>
      <w:r>
        <w:rPr>
          <w:rFonts w:ascii="Arial" w:hAnsi="Arial" w:cs="Arial"/>
          <w:b/>
          <w:bCs/>
        </w:rPr>
        <w:t>ARTÍCULO 2o.</w:t>
      </w:r>
      <w:r>
        <w:rPr>
          <w:rFonts w:ascii="Arial" w:hAnsi="Arial" w:cs="Arial"/>
        </w:rPr>
        <w:t xml:space="preserve"> Concepto de máximo nivel decisorio. Para los efectos de esta ley, entiéndase como "máximo nivel decisorio", el que corresponde a quienes ejercen los cargos de mayor jerarquía en las entidades de las tres ramas y órganos del poder público, en los niveles nacional, departamental, regional, provincial, distrital y municipal.</w:t>
      </w:r>
    </w:p>
    <w:p w:rsidR="00642193" w:rsidRDefault="00642193" w:rsidP="00642193">
      <w:pPr>
        <w:pStyle w:val="NormalWeb"/>
        <w:rPr>
          <w:rFonts w:ascii="Arial" w:hAnsi="Arial" w:cs="Arial"/>
        </w:rPr>
      </w:pPr>
      <w:r>
        <w:rPr>
          <w:rFonts w:ascii="Arial" w:hAnsi="Arial" w:cs="Arial"/>
          <w:b/>
          <w:bCs/>
        </w:rPr>
        <w:t>ARTÍCULO 3o.</w:t>
      </w:r>
      <w:r>
        <w:rPr>
          <w:rFonts w:ascii="Arial" w:hAnsi="Arial" w:cs="Arial"/>
        </w:rPr>
        <w:t xml:space="preserve"> Concepto de otros niveles decisorios. Entiéndase para los efectos de esta ley, por "otros niveles decisorios" los que correspondan a cargos de libre nombramiento y remoción, de la rama ejecutiva, del personal </w:t>
      </w:r>
      <w:r>
        <w:rPr>
          <w:rFonts w:ascii="Arial" w:hAnsi="Arial" w:cs="Arial"/>
        </w:rPr>
        <w:lastRenderedPageBreak/>
        <w:t>administrativo de la rama legislativa y de los demás órganos del poder público, diferentes a los contemplados en el artículo anterior, y que tengan atribuciones de dirección y mando en la formulación, planeación, coordinación, ejecución y control de las acciones y políticas del Estado, en los niveles nacional, departamental, regional, provincial, distrital y municipal, incluidos los cargos de libre nombramiento y remoción de la rama judicial.</w:t>
      </w:r>
    </w:p>
    <w:p w:rsidR="00642193" w:rsidRDefault="00642193" w:rsidP="00642193">
      <w:pPr>
        <w:pStyle w:val="NormalWeb"/>
        <w:rPr>
          <w:rFonts w:ascii="Arial" w:hAnsi="Arial" w:cs="Arial"/>
        </w:rPr>
      </w:pPr>
      <w:r>
        <w:rPr>
          <w:rFonts w:ascii="Arial" w:hAnsi="Arial" w:cs="Arial"/>
          <w:b/>
          <w:bCs/>
        </w:rPr>
        <w:t>ARTÍCULO </w:t>
      </w:r>
      <w:bookmarkStart w:id="0" w:name="4"/>
      <w:r>
        <w:rPr>
          <w:rFonts w:ascii="Arial" w:hAnsi="Arial" w:cs="Arial"/>
          <w:b/>
          <w:bCs/>
        </w:rPr>
        <w:t> </w:t>
      </w:r>
      <w:bookmarkEnd w:id="0"/>
      <w:r>
        <w:rPr>
          <w:rFonts w:ascii="Arial" w:hAnsi="Arial" w:cs="Arial"/>
          <w:b/>
          <w:bCs/>
        </w:rPr>
        <w:t>4o.</w:t>
      </w:r>
      <w:r>
        <w:rPr>
          <w:rFonts w:ascii="Arial" w:hAnsi="Arial" w:cs="Arial"/>
        </w:rPr>
        <w:t xml:space="preserve"> Participación efectiva de la mujer. La participación adecuada de la mujer en los niveles del poder público definidos en los artículos 2o. y 3o. de la presente ley, se hará efectiva aplicando por parte de las autoridades nominadoras las siguientes reglas:</w:t>
      </w:r>
    </w:p>
    <w:p w:rsidR="00642193" w:rsidRDefault="00642193" w:rsidP="00642193">
      <w:pPr>
        <w:pStyle w:val="NormalWeb"/>
        <w:rPr>
          <w:rFonts w:ascii="Arial" w:hAnsi="Arial" w:cs="Arial"/>
        </w:rPr>
      </w:pPr>
      <w:r>
        <w:rPr>
          <w:rFonts w:ascii="Arial" w:hAnsi="Arial" w:cs="Arial"/>
        </w:rPr>
        <w:t>a) Mínimo el treinta por ciento (30%) de los cargos de máximo nivel decisorio, de que trata el artículo 2o., serán desempeñados por mujeres;</w:t>
      </w:r>
    </w:p>
    <w:p w:rsidR="00642193" w:rsidRDefault="00642193" w:rsidP="00642193">
      <w:pPr>
        <w:pStyle w:val="NormalWeb"/>
        <w:rPr>
          <w:rFonts w:ascii="Arial" w:hAnsi="Arial" w:cs="Arial"/>
        </w:rPr>
      </w:pPr>
      <w:r>
        <w:rPr>
          <w:rFonts w:ascii="Arial" w:hAnsi="Arial" w:cs="Arial"/>
        </w:rPr>
        <w:t>b) Mínimo el treinta por ciento (30%) de los cargos de otros niveles decisorios, de que trata el artículo 3o., serán desempeñados por mujeres.</w:t>
      </w:r>
    </w:p>
    <w:p w:rsidR="00642193" w:rsidRDefault="00642193" w:rsidP="00642193">
      <w:pPr>
        <w:pStyle w:val="NormalWeb"/>
        <w:rPr>
          <w:rFonts w:ascii="Arial" w:hAnsi="Arial" w:cs="Arial"/>
        </w:rPr>
      </w:pPr>
      <w:r>
        <w:rPr>
          <w:rFonts w:ascii="Arial" w:hAnsi="Arial" w:cs="Arial"/>
          <w:b/>
          <w:bCs/>
        </w:rPr>
        <w:t>PARÁGRAFO</w:t>
      </w:r>
      <w:r>
        <w:rPr>
          <w:rFonts w:ascii="Arial" w:hAnsi="Arial" w:cs="Arial"/>
        </w:rPr>
        <w:t>. El incumplimiento de lo ordenado en este artículo constituye causal de mala conducta, que será sancionada con suspensión hasta de treinta (30) días en el ejercicio del cargo, y con la destitución del mismo en caso de persistir en la conducta, de conformidad con el régimen disciplinario vigente.</w:t>
      </w:r>
    </w:p>
    <w:p w:rsidR="00642193" w:rsidRDefault="00642193" w:rsidP="00642193">
      <w:pPr>
        <w:pStyle w:val="NormalWeb"/>
        <w:rPr>
          <w:rFonts w:ascii="Arial" w:hAnsi="Arial" w:cs="Arial"/>
        </w:rPr>
      </w:pPr>
      <w:r>
        <w:rPr>
          <w:rFonts w:ascii="Arial" w:hAnsi="Arial" w:cs="Arial"/>
          <w:b/>
          <w:bCs/>
        </w:rPr>
        <w:t>ARTÍCULO 5o.</w:t>
      </w:r>
      <w:r>
        <w:rPr>
          <w:rFonts w:ascii="Arial" w:hAnsi="Arial" w:cs="Arial"/>
        </w:rPr>
        <w:t xml:space="preserve"> Excepción. Lo dispuesto en el artículo anterior no se aplica a los cargos pertenecientes a la carrera administrativa, judicial u otras carreras especiales, en las que el ingreso, permanencia y ascenso se basan exclusivamente en el mérito, sin perjuicio de lo establecido al respecto en el artículo 7o. de esta ley.</w:t>
      </w:r>
    </w:p>
    <w:p w:rsidR="00642193" w:rsidRDefault="00642193" w:rsidP="00642193">
      <w:pPr>
        <w:pStyle w:val="NormalWeb"/>
        <w:rPr>
          <w:rFonts w:ascii="Arial" w:hAnsi="Arial" w:cs="Arial"/>
        </w:rPr>
      </w:pPr>
      <w:r>
        <w:rPr>
          <w:rFonts w:ascii="Arial" w:hAnsi="Arial" w:cs="Arial"/>
        </w:rPr>
        <w:t>Tampoco se aplica a la provisión de los cargos de elección y a los que se proveen por el sistema de ternas o listas, los cuales se gobiernan por el artículo 6o. de esta ley.</w:t>
      </w:r>
    </w:p>
    <w:p w:rsidR="00642193" w:rsidRDefault="00642193" w:rsidP="00642193">
      <w:pPr>
        <w:pStyle w:val="NormalWeb"/>
        <w:rPr>
          <w:rFonts w:ascii="Arial" w:hAnsi="Arial" w:cs="Arial"/>
        </w:rPr>
      </w:pPr>
      <w:r>
        <w:rPr>
          <w:rFonts w:ascii="Arial" w:hAnsi="Arial" w:cs="Arial"/>
          <w:b/>
          <w:bCs/>
        </w:rPr>
        <w:t>ARTÍCULO </w:t>
      </w:r>
      <w:bookmarkStart w:id="1" w:name="6"/>
      <w:r>
        <w:rPr>
          <w:rFonts w:ascii="Arial" w:hAnsi="Arial" w:cs="Arial"/>
          <w:b/>
          <w:bCs/>
        </w:rPr>
        <w:t> </w:t>
      </w:r>
      <w:bookmarkEnd w:id="1"/>
      <w:r>
        <w:rPr>
          <w:rFonts w:ascii="Arial" w:hAnsi="Arial" w:cs="Arial"/>
          <w:b/>
          <w:bCs/>
        </w:rPr>
        <w:t>6o.</w:t>
      </w:r>
      <w:r>
        <w:rPr>
          <w:rFonts w:ascii="Arial" w:hAnsi="Arial" w:cs="Arial"/>
        </w:rPr>
        <w:t xml:space="preserve"> Nombramiento por sistema de ternas y listas. Para el nombramiento en los cargos que deban proveerse por el sistema de ternas, se deberá incluir, en su integración, por lo menos el nombre de una mujer.</w:t>
      </w:r>
    </w:p>
    <w:p w:rsidR="00642193" w:rsidRDefault="00642193" w:rsidP="00642193">
      <w:pPr>
        <w:pStyle w:val="NormalWeb"/>
        <w:rPr>
          <w:rFonts w:ascii="Arial" w:hAnsi="Arial" w:cs="Arial"/>
        </w:rPr>
      </w:pPr>
      <w:r>
        <w:rPr>
          <w:rFonts w:ascii="Arial" w:hAnsi="Arial" w:cs="Arial"/>
        </w:rPr>
        <w:t>Para la designación en los cargos que deban proveerse por el sistema de listas, quien las elabore incluirá hombres y mujeres en igual proporción.</w:t>
      </w:r>
    </w:p>
    <w:p w:rsidR="00642193" w:rsidRDefault="00642193" w:rsidP="00642193">
      <w:pPr>
        <w:pStyle w:val="NormalWeb"/>
        <w:rPr>
          <w:rFonts w:ascii="Arial" w:hAnsi="Arial" w:cs="Arial"/>
        </w:rPr>
      </w:pPr>
      <w:r>
        <w:rPr>
          <w:rStyle w:val="Textoennegrita"/>
          <w:rFonts w:ascii="Arial" w:hAnsi="Arial" w:cs="Arial"/>
        </w:rPr>
        <w:t>Ver los Fallos del Consejo de Estado</w:t>
      </w:r>
      <w:r>
        <w:rPr>
          <w:rFonts w:ascii="Arial" w:hAnsi="Arial" w:cs="Arial"/>
        </w:rPr>
        <w:t xml:space="preserve"> </w:t>
      </w:r>
      <w:hyperlink r:id="rId13" w:anchor="0" w:history="1">
        <w:r>
          <w:rPr>
            <w:rStyle w:val="Hipervnculo"/>
            <w:rFonts w:ascii="Arial" w:hAnsi="Arial" w:cs="Arial"/>
          </w:rPr>
          <w:t>1631 de 2006</w:t>
        </w:r>
      </w:hyperlink>
      <w:r>
        <w:rPr>
          <w:rFonts w:ascii="Arial" w:hAnsi="Arial" w:cs="Arial"/>
        </w:rPr>
        <w:t xml:space="preserve"> </w:t>
      </w:r>
      <w:r>
        <w:rPr>
          <w:rStyle w:val="Textoennegrita"/>
          <w:rFonts w:ascii="Arial" w:hAnsi="Arial" w:cs="Arial"/>
        </w:rPr>
        <w:t>y</w:t>
      </w:r>
      <w:r>
        <w:rPr>
          <w:rFonts w:ascii="Arial" w:hAnsi="Arial" w:cs="Arial"/>
        </w:rPr>
        <w:t xml:space="preserve"> </w:t>
      </w:r>
      <w:hyperlink r:id="rId14" w:anchor="0" w:history="1">
        <w:r>
          <w:rPr>
            <w:rStyle w:val="Hipervnculo"/>
            <w:rFonts w:ascii="Arial" w:hAnsi="Arial" w:cs="Arial"/>
          </w:rPr>
          <w:t>1633 de 2007</w:t>
        </w:r>
      </w:hyperlink>
      <w:r>
        <w:rPr>
          <w:rFonts w:ascii="Arial" w:hAnsi="Arial" w:cs="Arial"/>
        </w:rPr>
        <w:t xml:space="preserve"> </w:t>
      </w:r>
    </w:p>
    <w:p w:rsidR="00642193" w:rsidRDefault="00642193" w:rsidP="00642193">
      <w:pPr>
        <w:pStyle w:val="NormalWeb"/>
        <w:rPr>
          <w:rFonts w:ascii="Arial" w:hAnsi="Arial" w:cs="Arial"/>
        </w:rPr>
      </w:pPr>
      <w:r>
        <w:rPr>
          <w:rStyle w:val="Textoennegrita"/>
          <w:rFonts w:ascii="Arial" w:hAnsi="Arial" w:cs="Arial"/>
        </w:rPr>
        <w:t>ARTÍCULO 7o.</w:t>
      </w:r>
      <w:r>
        <w:rPr>
          <w:rFonts w:ascii="Arial" w:hAnsi="Arial" w:cs="Arial"/>
        </w:rPr>
        <w:t xml:space="preserve"> Participación en los procesos de selección. En los casos de ingreso y ascenso en la carrera administrativa o en cualquiera de los sistemas especiales de carrera de la administración pública, en los que la selección se realice mediante concurso de méritos y calificación de pruebas, será obligatoria la participación de hombres y mujeres en igual proporción, como integrantes de las autoridades encargadas de efectuar la calificación.</w:t>
      </w:r>
    </w:p>
    <w:p w:rsidR="00642193" w:rsidRDefault="00642193" w:rsidP="00642193">
      <w:pPr>
        <w:pStyle w:val="NormalWeb"/>
        <w:rPr>
          <w:rFonts w:ascii="Arial" w:hAnsi="Arial" w:cs="Arial"/>
        </w:rPr>
      </w:pPr>
      <w:r>
        <w:rPr>
          <w:rFonts w:ascii="Arial" w:hAnsi="Arial" w:cs="Arial"/>
        </w:rPr>
        <w:lastRenderedPageBreak/>
        <w:t>Para establecer la paridad, se nombraran calificadores temporales o ad hoc, si fuere necesario.</w:t>
      </w:r>
    </w:p>
    <w:p w:rsidR="00642193" w:rsidRDefault="00642193" w:rsidP="00642193">
      <w:pPr>
        <w:pStyle w:val="NormalWeb"/>
        <w:rPr>
          <w:rFonts w:ascii="Arial" w:hAnsi="Arial" w:cs="Arial"/>
        </w:rPr>
      </w:pPr>
      <w:r>
        <w:rPr>
          <w:rFonts w:ascii="Arial" w:hAnsi="Arial" w:cs="Arial"/>
          <w:b/>
          <w:bCs/>
        </w:rPr>
        <w:t>PARÁGRAFO</w:t>
      </w:r>
      <w:r>
        <w:rPr>
          <w:rFonts w:ascii="Arial" w:hAnsi="Arial" w:cs="Arial"/>
        </w:rPr>
        <w:t>. El incumplimiento de lo ordenado en el presente artículo, será sancionado en los términos previstos en el parágrafo único del artículo 4o. de la presente ley.</w:t>
      </w:r>
    </w:p>
    <w:p w:rsidR="00642193" w:rsidRDefault="00642193" w:rsidP="00642193">
      <w:pPr>
        <w:pStyle w:val="NormalWeb"/>
        <w:rPr>
          <w:rFonts w:ascii="Arial" w:hAnsi="Arial" w:cs="Arial"/>
        </w:rPr>
      </w:pPr>
      <w:r>
        <w:rPr>
          <w:rFonts w:ascii="Arial" w:hAnsi="Arial" w:cs="Arial"/>
          <w:b/>
          <w:bCs/>
        </w:rPr>
        <w:t>ARTÍCULO 8o.</w:t>
      </w:r>
      <w:r>
        <w:rPr>
          <w:rFonts w:ascii="Arial" w:hAnsi="Arial" w:cs="Arial"/>
        </w:rPr>
        <w:t xml:space="preserve"> Información sobre oportunidades de trabajo. El Departamento Administrativo de la Función Pública, enviará a las Instituciones de Educación Superior información sobre los cargos a proveer en la Administración Pública y los requisitos exigidos para desempeñarlos.</w:t>
      </w:r>
    </w:p>
    <w:p w:rsidR="00642193" w:rsidRDefault="00642193" w:rsidP="00642193">
      <w:pPr>
        <w:pStyle w:val="NormalWeb"/>
        <w:rPr>
          <w:rFonts w:ascii="Arial" w:hAnsi="Arial" w:cs="Arial"/>
        </w:rPr>
      </w:pPr>
      <w:r>
        <w:rPr>
          <w:rFonts w:ascii="Arial" w:hAnsi="Arial" w:cs="Arial"/>
        </w:rPr>
        <w:t>Periódicamente deberá actualizar esta información, de acuerdo con las oportunidades de vinculación que se vayan presentando.</w:t>
      </w:r>
    </w:p>
    <w:p w:rsidR="00642193" w:rsidRDefault="00642193" w:rsidP="00642193">
      <w:pPr>
        <w:pStyle w:val="NormalWeb"/>
        <w:rPr>
          <w:rFonts w:ascii="Arial" w:hAnsi="Arial" w:cs="Arial"/>
          <w:b/>
          <w:bCs/>
        </w:rPr>
      </w:pPr>
      <w:bookmarkStart w:id="2" w:name="9"/>
      <w:r>
        <w:rPr>
          <w:rFonts w:ascii="Arial" w:hAnsi="Arial" w:cs="Arial"/>
          <w:b/>
          <w:bCs/>
        </w:rPr>
        <w:t> </w:t>
      </w:r>
      <w:bookmarkEnd w:id="2"/>
      <w:r>
        <w:rPr>
          <w:rFonts w:ascii="Arial" w:hAnsi="Arial" w:cs="Arial"/>
          <w:b/>
          <w:bCs/>
        </w:rPr>
        <w:t>ARTÍCULO 9o.</w:t>
      </w:r>
      <w:r>
        <w:rPr>
          <w:rFonts w:ascii="Arial" w:hAnsi="Arial" w:cs="Arial"/>
        </w:rPr>
        <w:t xml:space="preserve"> Promoción de la participación femenina en el sector privado. La Presidencia de la República, en cabeza de la Dirección Nacional para la Equidad de la Mujer, el Ministerio de Educación Nacional, los gobernadores, alcaldes y demás autoridades del orden nacional, departamental, regional, provincial, municipal y distrital, desarrollarán medidas tendientes a promover la participación de las mujeres en todas las instancias de decisión de la sociedad civil. </w:t>
      </w:r>
      <w:hyperlink r:id="rId15" w:anchor="0" w:history="1">
        <w:r>
          <w:rPr>
            <w:rStyle w:val="Hipervnculo"/>
            <w:rFonts w:ascii="Arial" w:hAnsi="Arial" w:cs="Arial"/>
          </w:rPr>
          <w:t>Ver el Acuerdo Distrital 91 de 2003. </w:t>
        </w:r>
      </w:hyperlink>
      <w:r>
        <w:rPr>
          <w:rFonts w:ascii="Arial" w:hAnsi="Arial" w:cs="Arial"/>
        </w:rPr>
        <w:t xml:space="preserve"> , </w:t>
      </w:r>
      <w:hyperlink r:id="rId16" w:anchor="0" w:history="1">
        <w:r>
          <w:rPr>
            <w:rStyle w:val="Hipervnculo"/>
            <w:rFonts w:ascii="Arial" w:hAnsi="Arial" w:cs="Arial"/>
          </w:rPr>
          <w:t xml:space="preserve">Ver la Ley 823 de 2003 </w:t>
        </w:r>
      </w:hyperlink>
    </w:p>
    <w:p w:rsidR="00642193" w:rsidRDefault="00642193" w:rsidP="00642193">
      <w:pPr>
        <w:pStyle w:val="NormalWeb"/>
        <w:rPr>
          <w:rFonts w:ascii="Arial" w:hAnsi="Arial" w:cs="Arial"/>
        </w:rPr>
      </w:pPr>
      <w:r>
        <w:rPr>
          <w:rFonts w:ascii="Arial" w:hAnsi="Arial" w:cs="Arial"/>
          <w:b/>
          <w:bCs/>
        </w:rPr>
        <w:t>ARTÍCULO 10.</w:t>
      </w:r>
      <w:r>
        <w:rPr>
          <w:rFonts w:ascii="Arial" w:hAnsi="Arial" w:cs="Arial"/>
        </w:rPr>
        <w:t xml:space="preserve"> Instrumentos básicos del Plan Nacional de Promoción y Estímulo a la Mujer. El plan deberá contener como instrumento básico, de carácter obligatorio, para alcanzar los objetivos mencionados, los siguientes:</w:t>
      </w:r>
    </w:p>
    <w:p w:rsidR="00642193" w:rsidRDefault="00642193" w:rsidP="00642193">
      <w:pPr>
        <w:pStyle w:val="NormalWeb"/>
        <w:rPr>
          <w:rFonts w:ascii="Arial" w:hAnsi="Arial" w:cs="Arial"/>
        </w:rPr>
      </w:pPr>
      <w:r>
        <w:rPr>
          <w:rFonts w:ascii="Arial" w:hAnsi="Arial" w:cs="Arial"/>
        </w:rPr>
        <w:t>a) Educación a los colombianos en la igualdad de sexos y promoción de los valores de la mujer;</w:t>
      </w:r>
    </w:p>
    <w:p w:rsidR="00642193" w:rsidRDefault="00642193" w:rsidP="00642193">
      <w:pPr>
        <w:pStyle w:val="NormalWeb"/>
        <w:rPr>
          <w:rFonts w:ascii="Arial" w:hAnsi="Arial" w:cs="Arial"/>
        </w:rPr>
      </w:pPr>
      <w:r>
        <w:rPr>
          <w:rFonts w:ascii="Arial" w:hAnsi="Arial" w:cs="Arial"/>
        </w:rPr>
        <w:t>b) Acciones positivas orientadas a la comprensión y superación de los obstáculos que dificultan la participación de la mujer en los niveles de decisión del sector privado;</w:t>
      </w:r>
    </w:p>
    <w:p w:rsidR="00642193" w:rsidRDefault="00642193" w:rsidP="00642193">
      <w:pPr>
        <w:pStyle w:val="NormalWeb"/>
        <w:rPr>
          <w:rFonts w:ascii="Arial" w:hAnsi="Arial" w:cs="Arial"/>
        </w:rPr>
      </w:pPr>
      <w:r>
        <w:rPr>
          <w:rFonts w:ascii="Arial" w:hAnsi="Arial" w:cs="Arial"/>
        </w:rPr>
        <w:t>c) Capacitación especializada de la mujer en el desarrollo del liderazgo con responsabilidad social y dimensión del género;</w:t>
      </w:r>
    </w:p>
    <w:p w:rsidR="00642193" w:rsidRDefault="00642193" w:rsidP="00642193">
      <w:pPr>
        <w:pStyle w:val="NormalWeb"/>
        <w:rPr>
          <w:rFonts w:ascii="Arial" w:hAnsi="Arial" w:cs="Arial"/>
        </w:rPr>
      </w:pPr>
      <w:r>
        <w:rPr>
          <w:rFonts w:ascii="Arial" w:hAnsi="Arial" w:cs="Arial"/>
        </w:rPr>
        <w:t>d) Disposición de canales efectivos de asistencia técnica;</w:t>
      </w:r>
    </w:p>
    <w:p w:rsidR="00642193" w:rsidRDefault="00642193" w:rsidP="00642193">
      <w:pPr>
        <w:pStyle w:val="NormalWeb"/>
        <w:rPr>
          <w:rFonts w:ascii="Arial" w:hAnsi="Arial" w:cs="Arial"/>
        </w:rPr>
      </w:pPr>
      <w:r>
        <w:rPr>
          <w:rFonts w:ascii="Arial" w:hAnsi="Arial" w:cs="Arial"/>
        </w:rPr>
        <w:t>e) Divulgación permanente de los derechos de la mujer, mecanismos de protección e instrumentos adecuados para hacerlos efectivos.</w:t>
      </w:r>
    </w:p>
    <w:p w:rsidR="00642193" w:rsidRDefault="00642193" w:rsidP="00642193">
      <w:pPr>
        <w:pStyle w:val="NormalWeb"/>
        <w:rPr>
          <w:rFonts w:ascii="Arial" w:hAnsi="Arial" w:cs="Arial"/>
        </w:rPr>
      </w:pPr>
      <w:r>
        <w:rPr>
          <w:rFonts w:ascii="Arial" w:hAnsi="Arial" w:cs="Arial"/>
          <w:b/>
          <w:bCs/>
        </w:rPr>
        <w:t>PARÁGRAFO</w:t>
      </w:r>
      <w:r>
        <w:rPr>
          <w:rFonts w:ascii="Arial" w:hAnsi="Arial" w:cs="Arial"/>
        </w:rPr>
        <w:t>. Para el desarrollo de los instrumentos contemplados en los literales a) y e), el plan deberá adoptar medidas orientadas a mejorar la calidad de la educación, mediante contenidos y prácticas no sexistas, que promuevan la formación de hombres y mujeres para compartir tareas de hogar y crianza; así mismo, se dará especial atención a los programas de alfabetización dirigidos a la población femenina.</w:t>
      </w:r>
    </w:p>
    <w:p w:rsidR="00642193" w:rsidRDefault="00642193" w:rsidP="00642193">
      <w:pPr>
        <w:pStyle w:val="NormalWeb"/>
        <w:rPr>
          <w:rFonts w:ascii="Arial" w:hAnsi="Arial" w:cs="Arial"/>
        </w:rPr>
      </w:pPr>
      <w:r>
        <w:rPr>
          <w:rFonts w:ascii="Arial" w:hAnsi="Arial" w:cs="Arial"/>
          <w:b/>
          <w:bCs/>
        </w:rPr>
        <w:lastRenderedPageBreak/>
        <w:t>ARTÍCULO 11.</w:t>
      </w:r>
      <w:r>
        <w:rPr>
          <w:rFonts w:ascii="Arial" w:hAnsi="Arial" w:cs="Arial"/>
        </w:rPr>
        <w:t xml:space="preserve"> Planes regionales de promoción y estímulo a la mujer. Los gobernadores y alcaldes prepararán planes departamentales, municipales y distritales de promoción y estímulo a la mujer, que deberán ser presentados ante la corporación administrativa de elección popular correspondiente, a fin de obtener su aprobación.</w:t>
      </w:r>
    </w:p>
    <w:p w:rsidR="00642193" w:rsidRDefault="00642193" w:rsidP="00642193">
      <w:pPr>
        <w:pStyle w:val="NormalWeb"/>
        <w:rPr>
          <w:rFonts w:ascii="Arial" w:hAnsi="Arial" w:cs="Arial"/>
        </w:rPr>
      </w:pPr>
      <w:r>
        <w:rPr>
          <w:rFonts w:ascii="Arial" w:hAnsi="Arial" w:cs="Arial"/>
        </w:rPr>
        <w:t>Estos planes se regirán en su formación, adopción, desarrollo y cómputo de plazos, por las disposiciones de la presente ley.</w:t>
      </w:r>
    </w:p>
    <w:p w:rsidR="00642193" w:rsidRDefault="00642193" w:rsidP="00642193">
      <w:pPr>
        <w:pStyle w:val="NormalWeb"/>
        <w:rPr>
          <w:rFonts w:ascii="Arial" w:hAnsi="Arial" w:cs="Arial"/>
        </w:rPr>
      </w:pPr>
      <w:r>
        <w:rPr>
          <w:rFonts w:ascii="Arial" w:hAnsi="Arial" w:cs="Arial"/>
          <w:b/>
          <w:bCs/>
        </w:rPr>
        <w:t>ARTÍCULO </w:t>
      </w:r>
      <w:bookmarkStart w:id="3" w:name="12"/>
      <w:r>
        <w:rPr>
          <w:rFonts w:ascii="Arial" w:hAnsi="Arial" w:cs="Arial"/>
          <w:b/>
          <w:bCs/>
        </w:rPr>
        <w:t> </w:t>
      </w:r>
      <w:bookmarkEnd w:id="3"/>
      <w:r>
        <w:rPr>
          <w:rFonts w:ascii="Arial" w:hAnsi="Arial" w:cs="Arial"/>
          <w:b/>
          <w:bCs/>
        </w:rPr>
        <w:t>12.</w:t>
      </w:r>
      <w:r>
        <w:rPr>
          <w:rFonts w:ascii="Arial" w:hAnsi="Arial" w:cs="Arial"/>
        </w:rPr>
        <w:t xml:space="preserve"> Informes de evaluación y cumplimiento. Con el fin de evaluar el cumplimiento del Plan Nacional de Promoción y Estímulo a la Mujer, el Consejo Superior de la Judicatura, el Departamento Administrativo de la Función Pública y la Dirección Administrativa del Congreso de la República, presentarán al Congreso, al Procurador General de la Nación, antes del 31 de diciembre de cada año, un informe sobre la provisión de cargos, el porcentaje de participación de las mujeres en cada rama y órgano de la administración pública. </w:t>
      </w:r>
      <w:hyperlink r:id="rId17" w:anchor="0" w:history="1">
        <w:r>
          <w:rPr>
            <w:rStyle w:val="Hipervnculo"/>
            <w:rFonts w:ascii="Arial" w:hAnsi="Arial" w:cs="Arial"/>
          </w:rPr>
          <w:t>Ver la Circular del D.A.F.P. 1000-11-2006</w:t>
        </w:r>
      </w:hyperlink>
      <w:r>
        <w:rPr>
          <w:rFonts w:ascii="Arial" w:hAnsi="Arial" w:cs="Arial"/>
        </w:rPr>
        <w:t xml:space="preserve"> </w:t>
      </w:r>
    </w:p>
    <w:p w:rsidR="00642193" w:rsidRDefault="00642193" w:rsidP="00642193">
      <w:pPr>
        <w:pStyle w:val="NormalWeb"/>
        <w:rPr>
          <w:rFonts w:ascii="Arial" w:hAnsi="Arial" w:cs="Arial"/>
        </w:rPr>
      </w:pPr>
      <w:r>
        <w:rPr>
          <w:rFonts w:ascii="Arial" w:hAnsi="Arial" w:cs="Arial"/>
          <w:b/>
          <w:bCs/>
        </w:rPr>
        <w:t>ARTÍCULO 13.</w:t>
      </w:r>
      <w:r>
        <w:rPr>
          <w:rFonts w:ascii="Arial" w:hAnsi="Arial" w:cs="Arial"/>
        </w:rPr>
        <w:t xml:space="preserve"> Representación en el exterior. El Gobierno y el Congreso de la República, deberán incluir mujeres en las delegaciones de colombianos que en comisiones oficiales atiendan conferencias diplomáticas, reuniones, foros internacionales, comités de expertos y eventos de naturaleza similar.</w:t>
      </w:r>
    </w:p>
    <w:p w:rsidR="00642193" w:rsidRDefault="00642193" w:rsidP="00642193">
      <w:pPr>
        <w:pStyle w:val="NormalWeb"/>
        <w:rPr>
          <w:rFonts w:ascii="Arial" w:hAnsi="Arial" w:cs="Arial"/>
        </w:rPr>
      </w:pPr>
      <w:r>
        <w:rPr>
          <w:rFonts w:ascii="Arial" w:hAnsi="Arial" w:cs="Arial"/>
        </w:rPr>
        <w:t>Así mismo, asegurarán la participación de mujeres en los cursos y seminarios de capacitación que se ofrezcan en el exterior a los servidores públicos colombianos en las diferentes áreas.</w:t>
      </w:r>
    </w:p>
    <w:p w:rsidR="00642193" w:rsidRDefault="00642193" w:rsidP="00642193">
      <w:pPr>
        <w:pStyle w:val="NormalWeb"/>
        <w:rPr>
          <w:rFonts w:ascii="Arial" w:hAnsi="Arial" w:cs="Arial"/>
        </w:rPr>
      </w:pPr>
      <w:r>
        <w:rPr>
          <w:rFonts w:ascii="Arial" w:hAnsi="Arial" w:cs="Arial"/>
          <w:b/>
          <w:bCs/>
        </w:rPr>
        <w:t>PARÁGRAFO</w:t>
      </w:r>
      <w:r>
        <w:rPr>
          <w:rFonts w:ascii="Arial" w:hAnsi="Arial" w:cs="Arial"/>
        </w:rPr>
        <w:t>. El incumplimiento de esta disposición será causal de mala conducta.</w:t>
      </w:r>
    </w:p>
    <w:p w:rsidR="00642193" w:rsidRDefault="00642193" w:rsidP="00642193">
      <w:pPr>
        <w:pStyle w:val="NormalWeb"/>
        <w:rPr>
          <w:rFonts w:ascii="Arial" w:hAnsi="Arial" w:cs="Arial"/>
        </w:rPr>
      </w:pPr>
      <w:r>
        <w:rPr>
          <w:rFonts w:ascii="Arial" w:hAnsi="Arial" w:cs="Arial"/>
          <w:b/>
          <w:bCs/>
        </w:rPr>
        <w:t>ARTÍCULO 14.</w:t>
      </w:r>
      <w:r>
        <w:rPr>
          <w:rFonts w:ascii="Arial" w:hAnsi="Arial" w:cs="Arial"/>
        </w:rPr>
        <w:t xml:space="preserve"> Igualdad de remuneración. El Gobierno, el Ministro de Trabajo y Seguridad Social, el Departamento Administrativo de la Función Pública y demás autoridades vigilarán el cumplimiento de la legislación que establece igualdad de condiciones laborales, con especial cuidado a que se haga efectivo el principio de igual remuneración para trabajo igual.</w:t>
      </w:r>
    </w:p>
    <w:p w:rsidR="00642193" w:rsidRDefault="00642193" w:rsidP="00642193">
      <w:pPr>
        <w:pStyle w:val="NormalWeb"/>
        <w:rPr>
          <w:rFonts w:ascii="Arial" w:hAnsi="Arial" w:cs="Arial"/>
        </w:rPr>
      </w:pPr>
      <w:r>
        <w:rPr>
          <w:rFonts w:ascii="Arial" w:hAnsi="Arial" w:cs="Arial"/>
          <w:b/>
          <w:bCs/>
        </w:rPr>
        <w:t>ARTÍCULO 15.</w:t>
      </w:r>
      <w:r>
        <w:rPr>
          <w:rFonts w:ascii="Arial" w:hAnsi="Arial" w:cs="Arial"/>
        </w:rPr>
        <w:t xml:space="preserve"> Apoyo a Organizaciones No Gubernamentales. El Gobierno promoverá y fortalecerá las Entidades No Gubernamentales con trayectoria en el trabajo, por los derechos y promoción de la mujer.</w:t>
      </w:r>
    </w:p>
    <w:p w:rsidR="00642193" w:rsidRDefault="00642193" w:rsidP="00642193">
      <w:pPr>
        <w:pStyle w:val="NormalWeb"/>
        <w:rPr>
          <w:rFonts w:ascii="Arial" w:hAnsi="Arial" w:cs="Arial"/>
        </w:rPr>
      </w:pPr>
      <w:r>
        <w:rPr>
          <w:rFonts w:ascii="Arial" w:hAnsi="Arial" w:cs="Arial"/>
          <w:b/>
          <w:bCs/>
        </w:rPr>
        <w:t>ARTÍCULO 16.</w:t>
      </w:r>
      <w:r>
        <w:rPr>
          <w:rFonts w:ascii="Arial" w:hAnsi="Arial" w:cs="Arial"/>
        </w:rPr>
        <w:t xml:space="preserve"> Vigilancia y cumplimiento de la ley. El Procurador General de la Nación y el Defensor del Pueblo, velarán por el estricto cumplimiento de esta ley.</w:t>
      </w:r>
    </w:p>
    <w:p w:rsidR="00642193" w:rsidRDefault="00642193" w:rsidP="00642193">
      <w:pPr>
        <w:pStyle w:val="NormalWeb"/>
        <w:rPr>
          <w:rFonts w:ascii="Arial" w:hAnsi="Arial" w:cs="Arial"/>
        </w:rPr>
      </w:pPr>
      <w:r>
        <w:rPr>
          <w:rFonts w:ascii="Arial" w:hAnsi="Arial" w:cs="Arial"/>
          <w:b/>
          <w:bCs/>
        </w:rPr>
        <w:t>ARTÍCULO 17.</w:t>
      </w:r>
      <w:r>
        <w:rPr>
          <w:rFonts w:ascii="Arial" w:hAnsi="Arial" w:cs="Arial"/>
        </w:rPr>
        <w:t xml:space="preserve"> Vigencia. Esta ley rige a partir de la fecha de su promulgación.</w:t>
      </w:r>
    </w:p>
    <w:p w:rsidR="00642193" w:rsidRDefault="00642193" w:rsidP="00642193">
      <w:pPr>
        <w:pStyle w:val="NormalWeb"/>
        <w:rPr>
          <w:rFonts w:ascii="Arial" w:hAnsi="Arial" w:cs="Arial"/>
        </w:rPr>
      </w:pPr>
      <w:r>
        <w:rPr>
          <w:rFonts w:ascii="Arial" w:hAnsi="Arial" w:cs="Arial"/>
        </w:rPr>
        <w:t>El Presidente del honorable Senado de la República,</w:t>
      </w:r>
    </w:p>
    <w:p w:rsidR="00642193" w:rsidRDefault="00642193" w:rsidP="00642193">
      <w:pPr>
        <w:pStyle w:val="NormalWeb"/>
        <w:rPr>
          <w:rFonts w:ascii="Arial" w:hAnsi="Arial" w:cs="Arial"/>
        </w:rPr>
      </w:pPr>
      <w:r>
        <w:rPr>
          <w:rFonts w:ascii="Arial" w:hAnsi="Arial" w:cs="Arial"/>
        </w:rPr>
        <w:t>Miguel Pinedo Vidal.</w:t>
      </w:r>
    </w:p>
    <w:p w:rsidR="00642193" w:rsidRDefault="00642193" w:rsidP="00642193">
      <w:pPr>
        <w:pStyle w:val="NormalWeb"/>
        <w:rPr>
          <w:rFonts w:ascii="Arial" w:hAnsi="Arial" w:cs="Arial"/>
        </w:rPr>
      </w:pPr>
      <w:r>
        <w:rPr>
          <w:rFonts w:ascii="Arial" w:hAnsi="Arial" w:cs="Arial"/>
        </w:rPr>
        <w:lastRenderedPageBreak/>
        <w:t>El Secretario General del honorable Senado de la República,</w:t>
      </w:r>
    </w:p>
    <w:p w:rsidR="00642193" w:rsidRDefault="00642193" w:rsidP="00642193">
      <w:pPr>
        <w:pStyle w:val="NormalWeb"/>
        <w:rPr>
          <w:rFonts w:ascii="Arial" w:hAnsi="Arial" w:cs="Arial"/>
        </w:rPr>
      </w:pPr>
      <w:r>
        <w:rPr>
          <w:rFonts w:ascii="Arial" w:hAnsi="Arial" w:cs="Arial"/>
        </w:rPr>
        <w:t>Manuel Enríquez Rosero.</w:t>
      </w:r>
    </w:p>
    <w:p w:rsidR="00642193" w:rsidRDefault="00642193" w:rsidP="00642193">
      <w:pPr>
        <w:pStyle w:val="NormalWeb"/>
        <w:rPr>
          <w:rFonts w:ascii="Arial" w:hAnsi="Arial" w:cs="Arial"/>
        </w:rPr>
      </w:pPr>
      <w:r>
        <w:rPr>
          <w:rFonts w:ascii="Arial" w:hAnsi="Arial" w:cs="Arial"/>
        </w:rPr>
        <w:t>La Presidenta de la honorable Cámara de Representantes,</w:t>
      </w:r>
    </w:p>
    <w:p w:rsidR="00642193" w:rsidRDefault="00642193" w:rsidP="00642193">
      <w:pPr>
        <w:pStyle w:val="NormalWeb"/>
        <w:rPr>
          <w:rFonts w:ascii="Arial" w:hAnsi="Arial" w:cs="Arial"/>
        </w:rPr>
      </w:pPr>
      <w:r>
        <w:rPr>
          <w:rFonts w:ascii="Arial" w:hAnsi="Arial" w:cs="Arial"/>
        </w:rPr>
        <w:t>Nancy Patricia Gutiérrez Castañeda.</w:t>
      </w:r>
    </w:p>
    <w:p w:rsidR="00642193" w:rsidRDefault="00642193" w:rsidP="00642193">
      <w:pPr>
        <w:pStyle w:val="NormalWeb"/>
        <w:rPr>
          <w:rFonts w:ascii="Arial" w:hAnsi="Arial" w:cs="Arial"/>
        </w:rPr>
      </w:pPr>
      <w:r>
        <w:rPr>
          <w:rFonts w:ascii="Arial" w:hAnsi="Arial" w:cs="Arial"/>
        </w:rPr>
        <w:t>El Secretario General de la honorable Cámara de Representantes,</w:t>
      </w:r>
    </w:p>
    <w:p w:rsidR="00642193" w:rsidRDefault="00642193" w:rsidP="00642193">
      <w:pPr>
        <w:pStyle w:val="NormalWeb"/>
        <w:rPr>
          <w:rFonts w:ascii="Arial" w:hAnsi="Arial" w:cs="Arial"/>
        </w:rPr>
      </w:pPr>
      <w:r>
        <w:rPr>
          <w:rFonts w:ascii="Arial" w:hAnsi="Arial" w:cs="Arial"/>
        </w:rPr>
        <w:t xml:space="preserve">Gustavo Bustamante </w:t>
      </w:r>
      <w:proofErr w:type="spellStart"/>
      <w:r>
        <w:rPr>
          <w:rFonts w:ascii="Arial" w:hAnsi="Arial" w:cs="Arial"/>
        </w:rPr>
        <w:t>Moratto</w:t>
      </w:r>
      <w:proofErr w:type="spellEnd"/>
      <w:r>
        <w:rPr>
          <w:rFonts w:ascii="Arial" w:hAnsi="Arial" w:cs="Arial"/>
        </w:rPr>
        <w:t>.</w:t>
      </w:r>
    </w:p>
    <w:p w:rsidR="00642193" w:rsidRDefault="00642193" w:rsidP="00642193">
      <w:pPr>
        <w:pStyle w:val="NormalWeb"/>
        <w:rPr>
          <w:rFonts w:ascii="Arial" w:hAnsi="Arial" w:cs="Arial"/>
        </w:rPr>
      </w:pPr>
      <w:r>
        <w:rPr>
          <w:rFonts w:ascii="Arial" w:hAnsi="Arial" w:cs="Arial"/>
        </w:rPr>
        <w:t>REPUBLICA DE COLOMBIA GOBIERNO NACIONAL</w:t>
      </w:r>
    </w:p>
    <w:p w:rsidR="00642193" w:rsidRDefault="00642193" w:rsidP="00642193">
      <w:pPr>
        <w:pStyle w:val="NormalWeb"/>
        <w:rPr>
          <w:rFonts w:ascii="Arial" w:hAnsi="Arial" w:cs="Arial"/>
        </w:rPr>
      </w:pPr>
      <w:r>
        <w:rPr>
          <w:rFonts w:ascii="Arial" w:hAnsi="Arial" w:cs="Arial"/>
        </w:rPr>
        <w:t>Publíquese y ejecútese.</w:t>
      </w:r>
    </w:p>
    <w:p w:rsidR="00642193" w:rsidRDefault="00642193" w:rsidP="00642193">
      <w:pPr>
        <w:pStyle w:val="NormalWeb"/>
        <w:rPr>
          <w:rFonts w:ascii="Arial" w:hAnsi="Arial" w:cs="Arial"/>
        </w:rPr>
      </w:pPr>
      <w:r>
        <w:rPr>
          <w:rFonts w:ascii="Arial" w:hAnsi="Arial" w:cs="Arial"/>
        </w:rPr>
        <w:t>Dada en Santa Fe de Bogotá, D. C., a 31 de mayo de 2000.</w:t>
      </w:r>
    </w:p>
    <w:p w:rsidR="00642193" w:rsidRDefault="00642193" w:rsidP="00642193">
      <w:pPr>
        <w:pStyle w:val="NormalWeb"/>
        <w:rPr>
          <w:rFonts w:ascii="Arial" w:hAnsi="Arial" w:cs="Arial"/>
        </w:rPr>
      </w:pPr>
      <w:r>
        <w:rPr>
          <w:rFonts w:ascii="Arial" w:hAnsi="Arial" w:cs="Arial"/>
        </w:rPr>
        <w:t>ANDRES PASTRANA ARANGO</w:t>
      </w:r>
    </w:p>
    <w:p w:rsidR="00642193" w:rsidRDefault="00642193" w:rsidP="00642193">
      <w:pPr>
        <w:pStyle w:val="NormalWeb"/>
        <w:rPr>
          <w:rFonts w:ascii="Arial" w:hAnsi="Arial" w:cs="Arial"/>
        </w:rPr>
      </w:pPr>
      <w:r>
        <w:rPr>
          <w:rFonts w:ascii="Arial" w:hAnsi="Arial" w:cs="Arial"/>
        </w:rPr>
        <w:t>El Ministro del Interior,</w:t>
      </w:r>
    </w:p>
    <w:p w:rsidR="00642193" w:rsidRDefault="00642193" w:rsidP="00642193">
      <w:pPr>
        <w:pStyle w:val="NormalWeb"/>
        <w:rPr>
          <w:rFonts w:ascii="Arial" w:hAnsi="Arial" w:cs="Arial"/>
        </w:rPr>
      </w:pPr>
      <w:r>
        <w:rPr>
          <w:rFonts w:ascii="Arial" w:hAnsi="Arial" w:cs="Arial"/>
        </w:rPr>
        <w:t xml:space="preserve">Humberto de la Calle </w:t>
      </w:r>
      <w:proofErr w:type="spellStart"/>
      <w:r>
        <w:rPr>
          <w:rFonts w:ascii="Arial" w:hAnsi="Arial" w:cs="Arial"/>
        </w:rPr>
        <w:t>Lombana</w:t>
      </w:r>
      <w:proofErr w:type="spellEnd"/>
      <w:r>
        <w:rPr>
          <w:rFonts w:ascii="Arial" w:hAnsi="Arial" w:cs="Arial"/>
        </w:rPr>
        <w:t>.</w:t>
      </w:r>
    </w:p>
    <w:p w:rsidR="00642193" w:rsidRDefault="00642193" w:rsidP="00642193">
      <w:pPr>
        <w:pStyle w:val="NormalWeb"/>
        <w:rPr>
          <w:rFonts w:ascii="Arial" w:hAnsi="Arial" w:cs="Arial"/>
        </w:rPr>
      </w:pPr>
      <w:r>
        <w:rPr>
          <w:rFonts w:ascii="Arial" w:hAnsi="Arial" w:cs="Arial"/>
        </w:rPr>
        <w:t>La Ministra de Trabajo y Seguridad Social,</w:t>
      </w:r>
    </w:p>
    <w:p w:rsidR="00642193" w:rsidRDefault="00642193" w:rsidP="00642193">
      <w:pPr>
        <w:pStyle w:val="NormalWeb"/>
        <w:rPr>
          <w:rFonts w:ascii="Arial" w:hAnsi="Arial" w:cs="Arial"/>
        </w:rPr>
      </w:pPr>
      <w:r>
        <w:rPr>
          <w:rFonts w:ascii="Arial" w:hAnsi="Arial" w:cs="Arial"/>
        </w:rPr>
        <w:t>Gina Magnolia Riaño Barón.</w:t>
      </w:r>
    </w:p>
    <w:p w:rsidR="00642193" w:rsidRDefault="00642193" w:rsidP="00642193">
      <w:pPr>
        <w:pStyle w:val="NormalWeb"/>
        <w:rPr>
          <w:rFonts w:ascii="Arial" w:hAnsi="Arial" w:cs="Arial"/>
        </w:rPr>
      </w:pPr>
      <w:r>
        <w:rPr>
          <w:rFonts w:ascii="Arial" w:hAnsi="Arial" w:cs="Arial"/>
        </w:rPr>
        <w:t>DIARIO OFICIAL No. 44.026 del 31 de mayo de 2000</w:t>
      </w:r>
    </w:p>
    <w:p w:rsidR="00033CD0" w:rsidRDefault="00642193">
      <w:r w:rsidRPr="00642193">
        <w:t>http://www.alcaldiabogota.gov.co/sisjur/normas/Norma1.jsp?i=5367#1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F06A13"/>
    <w:rsid w:val="00033CD0"/>
    <w:rsid w:val="00642193"/>
    <w:rsid w:val="00A039D0"/>
    <w:rsid w:val="00F06A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193"/>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42193"/>
    <w:rPr>
      <w:color w:val="0000FF"/>
      <w:u w:val="single"/>
    </w:rPr>
  </w:style>
  <w:style w:type="character" w:styleId="Textoennegrita">
    <w:name w:val="Strong"/>
    <w:basedOn w:val="Fuentedeprrafopredeter"/>
    <w:uiPriority w:val="22"/>
    <w:qFormat/>
    <w:rsid w:val="00642193"/>
    <w:rPr>
      <w:b/>
      <w:bCs/>
    </w:rPr>
  </w:style>
  <w:style w:type="paragraph" w:styleId="NormalWeb">
    <w:name w:val="Normal (Web)"/>
    <w:basedOn w:val="Normal"/>
    <w:uiPriority w:val="99"/>
    <w:semiHidden/>
    <w:unhideWhenUsed/>
    <w:rsid w:val="00642193"/>
    <w:pPr>
      <w:spacing w:before="100" w:beforeAutospacing="1" w:after="100" w:afterAutospacing="1"/>
    </w:pPr>
  </w:style>
  <w:style w:type="paragraph" w:styleId="Textodeglobo">
    <w:name w:val="Balloon Text"/>
    <w:basedOn w:val="Normal"/>
    <w:link w:val="TextodegloboCar"/>
    <w:uiPriority w:val="99"/>
    <w:semiHidden/>
    <w:unhideWhenUsed/>
    <w:rsid w:val="00642193"/>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193"/>
    <w:rPr>
      <w:rFonts w:ascii="Tahoma" w:eastAsia="Times New Roman" w:hAnsi="Tahoma" w:cs="Tahoma"/>
      <w:kern w:val="0"/>
      <w:sz w:val="16"/>
      <w:szCs w:val="16"/>
      <w:lang w:eastAsia="es-ES"/>
    </w:rPr>
  </w:style>
</w:styles>
</file>

<file path=word/webSettings.xml><?xml version="1.0" encoding="utf-8"?>
<w:webSettings xmlns:r="http://schemas.openxmlformats.org/officeDocument/2006/relationships" xmlns:w="http://schemas.openxmlformats.org/wordprocessingml/2006/main">
  <w:divs>
    <w:div w:id="1606573493">
      <w:bodyDiv w:val="1"/>
      <w:marLeft w:val="0"/>
      <w:marRight w:val="0"/>
      <w:marTop w:val="0"/>
      <w:marBottom w:val="0"/>
      <w:divBdr>
        <w:top w:val="none" w:sz="0" w:space="0" w:color="auto"/>
        <w:left w:val="none" w:sz="0" w:space="0" w:color="auto"/>
        <w:bottom w:val="none" w:sz="0" w:space="0" w:color="auto"/>
        <w:right w:val="none" w:sz="0" w:space="0" w:color="auto"/>
      </w:divBdr>
      <w:divsChild>
        <w:div w:id="848250717">
          <w:marLeft w:val="0"/>
          <w:marRight w:val="0"/>
          <w:marTop w:val="0"/>
          <w:marBottom w:val="0"/>
          <w:divBdr>
            <w:top w:val="none" w:sz="0" w:space="0" w:color="auto"/>
            <w:left w:val="none" w:sz="0" w:space="0" w:color="auto"/>
            <w:bottom w:val="none" w:sz="0" w:space="0" w:color="auto"/>
            <w:right w:val="none" w:sz="0" w:space="0" w:color="auto"/>
          </w:divBdr>
          <w:divsChild>
            <w:div w:id="16266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calsegen01.alcaldiabogota.gov.co:7772/sisjur/normas/Norma1.jsp?i=2113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alcaldiabogota.gov.co/sisjur/normas/Norma1.jsp?i=34054" TargetMode="External"/><Relationship Id="rId17" Type="http://schemas.openxmlformats.org/officeDocument/2006/relationships/hyperlink" Target="http://www.alcaldiabogota.gov.co/sisjur/normas/Norma1.jsp?i=21708" TargetMode="External"/><Relationship Id="rId2" Type="http://schemas.openxmlformats.org/officeDocument/2006/relationships/settings" Target="settings.xml"/><Relationship Id="rId16" Type="http://schemas.openxmlformats.org/officeDocument/2006/relationships/hyperlink" Target="http://www.alcaldiabogota.gov.co/sisjur/normas/Norma1.jsp?i=8787" TargetMode="External"/><Relationship Id="rId1" Type="http://schemas.openxmlformats.org/officeDocument/2006/relationships/styles" Target="styles.xml"/><Relationship Id="rId6" Type="http://schemas.openxmlformats.org/officeDocument/2006/relationships/hyperlink" Target="http://www.alcaldiabogota.gov.co/sisjur/normas/Norma_temas.jsp?i=5367" TargetMode="External"/><Relationship Id="rId11" Type="http://schemas.openxmlformats.org/officeDocument/2006/relationships/hyperlink" Target="http://www.alcaldiabogota.gov.co/sisjur/normas/Norma1.jsp?i=5364" TargetMode="External"/><Relationship Id="rId5" Type="http://schemas.openxmlformats.org/officeDocument/2006/relationships/image" Target="media/image1.gif"/><Relationship Id="rId15" Type="http://schemas.openxmlformats.org/officeDocument/2006/relationships/hyperlink" Target="http://www.alcaldiabogota.gov.co/sisjur/normas/Norma1.jsp?i=8637" TargetMode="External"/><Relationship Id="rId10" Type="http://schemas.openxmlformats.org/officeDocument/2006/relationships/hyperlink" Target="http://www.alcaldiabogota.gov.co/sisjur/normas/Norma1.jsp?i=4141" TargetMode="External"/><Relationship Id="rId19" Type="http://schemas.openxmlformats.org/officeDocument/2006/relationships/theme" Target="theme/theme1.xml"/><Relationship Id="rId4" Type="http://schemas.openxmlformats.org/officeDocument/2006/relationships/hyperlink" Target="http://www.alcaldiabogota.gov.co/sisjur/" TargetMode="External"/><Relationship Id="rId9" Type="http://schemas.openxmlformats.org/officeDocument/2006/relationships/image" Target="media/image4.jpeg"/><Relationship Id="rId14" Type="http://schemas.openxmlformats.org/officeDocument/2006/relationships/hyperlink" Target="http://calsegen01.alcaldiabogota.gov.co:7772/sisjur/normas/Norma1.jsp?i=237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9272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2010-07-12T18:25:00Z</dcterms:created>
  <dcterms:modified xsi:type="dcterms:W3CDTF">2010-07-12T18:26:00Z</dcterms:modified>
</cp:coreProperties>
</file>