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B73" w:rsidRDefault="007F7B73" w:rsidP="007F7B73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LEY 649 DE 2001</w:t>
      </w:r>
    </w:p>
    <w:p w:rsidR="007F7B73" w:rsidRDefault="007F7B73" w:rsidP="007F7B73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</w:t>
      </w:r>
      <w:proofErr w:type="gramStart"/>
      <w:r>
        <w:rPr>
          <w:rFonts w:ascii="Arial" w:hAnsi="Arial" w:cs="Arial"/>
          <w:b/>
          <w:bCs/>
        </w:rPr>
        <w:t>marzo</w:t>
      </w:r>
      <w:proofErr w:type="gramEnd"/>
      <w:r>
        <w:rPr>
          <w:rFonts w:ascii="Arial" w:hAnsi="Arial" w:cs="Arial"/>
          <w:b/>
          <w:bCs/>
        </w:rPr>
        <w:t xml:space="preserve"> 27)</w:t>
      </w:r>
    </w:p>
    <w:p w:rsidR="007F7B73" w:rsidRDefault="007F7B73" w:rsidP="007F7B73">
      <w:pPr>
        <w:pStyle w:val="NormalWeb"/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por</w:t>
      </w:r>
      <w:proofErr w:type="gramEnd"/>
      <w:r>
        <w:rPr>
          <w:rFonts w:ascii="Arial" w:hAnsi="Arial" w:cs="Arial"/>
          <w:b/>
          <w:bCs/>
        </w:rPr>
        <w:t xml:space="preserve"> la cual se reglamenta el artículo 176 de la</w:t>
      </w:r>
    </w:p>
    <w:p w:rsidR="007F7B73" w:rsidRDefault="007F7B73" w:rsidP="007F7B73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Constitución Política de Colombia.</w:t>
      </w:r>
    </w:p>
    <w:p w:rsidR="007F7B73" w:rsidRDefault="007F7B73" w:rsidP="007F7B73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 Congreso de la República de Colombia</w:t>
      </w:r>
    </w:p>
    <w:p w:rsidR="007F7B73" w:rsidRDefault="007F7B73" w:rsidP="007F7B73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DECRETA:</w:t>
      </w:r>
    </w:p>
    <w:p w:rsidR="007F7B73" w:rsidRDefault="007F7B73" w:rsidP="007F7B73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 I T U L O I</w:t>
      </w:r>
    </w:p>
    <w:p w:rsidR="007F7B73" w:rsidRDefault="007F7B73" w:rsidP="007F7B73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DISPOSICIONES GENERALES</w:t>
      </w:r>
    </w:p>
    <w:p w:rsidR="007F7B73" w:rsidRDefault="007F7B73" w:rsidP="007F7B73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CAPITULO I</w:t>
      </w:r>
    </w:p>
    <w:p w:rsidR="007F7B73" w:rsidRDefault="007F7B73" w:rsidP="007F7B73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Definición</w:t>
      </w:r>
    </w:p>
    <w:p w:rsidR="007F7B73" w:rsidRDefault="007F7B73" w:rsidP="007F7B73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ARTÍCULO 1º.</w:t>
      </w:r>
      <w:r>
        <w:rPr>
          <w:rFonts w:ascii="Arial" w:hAnsi="Arial" w:cs="Arial"/>
        </w:rPr>
        <w:t xml:space="preserve"> De conformidad con el artículo 176 de la Constitución Política habrá una circunscripción nacional especial para asegurar la participación en la Cámara de Representantes de los grupos étnicos, las minorías políticas y los colombianos residentes en el exterior.</w:t>
      </w:r>
    </w:p>
    <w:p w:rsidR="007F7B73" w:rsidRDefault="007F7B73" w:rsidP="007F7B73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Esta circunscripción constará de cinco (5) curules distribuidas así: dos (2) para las comunidades negras, una, (1) para las comunidades indígenas, una (1) para las minorías políticas y una (1) para los colombianos residentes en el exterior.</w:t>
      </w:r>
    </w:p>
    <w:p w:rsidR="007F7B73" w:rsidRDefault="007F7B73" w:rsidP="007F7B73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PARÁGRAFO. </w:t>
      </w:r>
      <w:r>
        <w:rPr>
          <w:rFonts w:ascii="Arial" w:hAnsi="Arial" w:cs="Arial"/>
        </w:rPr>
        <w:t>Quien sea elegido para la circunscripción especial de los colombianos residentes en el exterior, deberá residir en el territorio nacional mientras ejerza su condición de Representante de la Cámara.</w:t>
      </w:r>
    </w:p>
    <w:p w:rsidR="007F7B73" w:rsidRDefault="007F7B73" w:rsidP="007F7B73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CAPITULO II</w:t>
      </w:r>
    </w:p>
    <w:p w:rsidR="007F7B73" w:rsidRDefault="007F7B73" w:rsidP="007F7B73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 las comunidades indígenas</w:t>
      </w:r>
    </w:p>
    <w:p w:rsidR="007F7B73" w:rsidRDefault="007F7B73" w:rsidP="007F7B73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ARTÍCULO 2º.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Candidatos de las comunidades indígenas</w:t>
      </w:r>
      <w:r>
        <w:rPr>
          <w:rFonts w:ascii="Arial" w:hAnsi="Arial" w:cs="Arial"/>
        </w:rPr>
        <w:t>. Los candidatos de las comunidades indígenas que aspiren a ser elegidos a la Cámara de Representantes por esta circunscripción deberán haber ejercido un cargo de autoridad tradicional en su respectiva comunidad o haber sido líder de una organización indígena, calidad que se acreditará mediante certificado de la respectiva organización refrendado por el Ministerio del Interior.</w:t>
      </w:r>
    </w:p>
    <w:p w:rsidR="007F7B73" w:rsidRDefault="007F7B73" w:rsidP="007F7B73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CAPITULO III</w:t>
      </w:r>
    </w:p>
    <w:p w:rsidR="007F7B73" w:rsidRDefault="007F7B73" w:rsidP="007F7B73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 las comunidades negras</w:t>
      </w:r>
    </w:p>
    <w:p w:rsidR="007F7B73" w:rsidRDefault="007F7B73" w:rsidP="007F7B73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ARTÍCULO 3º.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Candidatos de las comunidades negras</w:t>
      </w:r>
      <w:r>
        <w:rPr>
          <w:rFonts w:ascii="Arial" w:hAnsi="Arial" w:cs="Arial"/>
        </w:rPr>
        <w:t>. Quienes aspiren a ser candidatos de las comunidades negras para ser elegidos a la Cámara de Representantes por esta circunscripción especial, deberán ser miembros de la respectiva comunidad y avalados previamente por una organización inscrita ante la Dirección de Asuntos de Comunidades Negras del Ministerio del Interior.</w:t>
      </w:r>
    </w:p>
    <w:p w:rsidR="007F7B73" w:rsidRDefault="007F7B73" w:rsidP="007F7B73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CAPITULO IV</w:t>
      </w:r>
    </w:p>
    <w:p w:rsidR="007F7B73" w:rsidRDefault="007F7B73" w:rsidP="007F7B73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 las minorías políticas</w:t>
      </w:r>
    </w:p>
    <w:p w:rsidR="007F7B73" w:rsidRDefault="007F7B73" w:rsidP="007F7B73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Artículo 4º. </w:t>
      </w:r>
      <w:r>
        <w:rPr>
          <w:rFonts w:ascii="Arial" w:hAnsi="Arial" w:cs="Arial"/>
          <w:i/>
          <w:iCs/>
        </w:rPr>
        <w:t>Candidatos de las minorías políticas</w:t>
      </w:r>
      <w:r>
        <w:rPr>
          <w:rFonts w:ascii="Arial" w:hAnsi="Arial" w:cs="Arial"/>
        </w:rPr>
        <w:t>. Podrán acceder a una curul por la circunscripción especial para las minorías políticas, los movimientos o partidos políticos:</w:t>
      </w:r>
    </w:p>
    <w:p w:rsidR="007F7B73" w:rsidRDefault="007F7B73" w:rsidP="007F7B73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a) Que hubiesen presentado candidatos a la Cámara de Representantes como mínimo en un 30% de las circunscripciones territoriales;</w:t>
      </w:r>
    </w:p>
    <w:p w:rsidR="007F7B73" w:rsidRDefault="007F7B73" w:rsidP="007F7B73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b) Que no hubiesen obtenido representantes en el Congreso Nacional, y</w:t>
      </w:r>
    </w:p>
    <w:p w:rsidR="007F7B73" w:rsidRDefault="007F7B73" w:rsidP="007F7B73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c) Que su votación mayoritaria en un mismo departamento o circunscripción territorial sea menos del 70% de la sumatoria de su votación en todo el país.</w:t>
      </w:r>
    </w:p>
    <w:p w:rsidR="007F7B73" w:rsidRDefault="007F7B73" w:rsidP="007F7B73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La curul corresponderá al partido o movimiento político que, cumpliendo con los requisitos, de los literales anteriores obtenga la mayor votación agregada en todo el país.</w:t>
      </w:r>
    </w:p>
    <w:p w:rsidR="007F7B73" w:rsidRDefault="007F7B73" w:rsidP="007F7B73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La lista a la cual se le asignará la curul será la conformada por las cabezas de lista de mayor a menor votación de las inscritas por el respectivo partido o movimiento en todo el territorio nacional.</w:t>
      </w:r>
    </w:p>
    <w:p w:rsidR="007F7B73" w:rsidRDefault="007F7B73" w:rsidP="007F7B73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CAPITULO V</w:t>
      </w:r>
    </w:p>
    <w:p w:rsidR="007F7B73" w:rsidRDefault="007F7B73" w:rsidP="007F7B73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 los colombianos residentes en el exterior</w:t>
      </w:r>
    </w:p>
    <w:p w:rsidR="007F7B73" w:rsidRDefault="007F7B73" w:rsidP="007F7B73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ARTÍCULO 5º.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Candidatos de los colombianos residentes en el exterior.</w:t>
      </w:r>
      <w:r>
        <w:rPr>
          <w:rFonts w:ascii="Arial" w:hAnsi="Arial" w:cs="Arial"/>
        </w:rPr>
        <w:t xml:space="preserve"> Los candidatos de los colombianos residentes en el exterior que aspiren a ser elegidos a la Cámara de Representantes requieren demostrar ante las autoridades electorales colombianas una residencia mínima de cinco (5) años </w:t>
      </w:r>
      <w:r>
        <w:rPr>
          <w:rFonts w:ascii="Arial" w:hAnsi="Arial" w:cs="Arial"/>
        </w:rPr>
        <w:softHyphen/>
        <w:t>continuos en el exterior y contar con un aval de un partido o movimiento político debidamente reconocido por el Consejo Nacional Electoral.</w:t>
      </w:r>
    </w:p>
    <w:p w:rsidR="007F7B73" w:rsidRDefault="007F7B73" w:rsidP="007F7B73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 I T U L O II</w:t>
      </w:r>
    </w:p>
    <w:p w:rsidR="007F7B73" w:rsidRDefault="007F7B73" w:rsidP="007F7B73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DISPOSICIONES FINALES</w:t>
      </w:r>
    </w:p>
    <w:p w:rsidR="007F7B73" w:rsidRDefault="007F7B73" w:rsidP="007F7B73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CAPITULO I</w:t>
      </w:r>
    </w:p>
    <w:p w:rsidR="007F7B73" w:rsidRDefault="007F7B73" w:rsidP="007F7B73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Disposiciones comunes</w:t>
      </w:r>
    </w:p>
    <w:p w:rsidR="007F7B73" w:rsidRDefault="007F7B73" w:rsidP="007F7B73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ARTÍCULO 6º. </w:t>
      </w:r>
      <w:r>
        <w:rPr>
          <w:rFonts w:ascii="Arial" w:hAnsi="Arial" w:cs="Arial"/>
          <w:i/>
          <w:iCs/>
        </w:rPr>
        <w:t>Inscripciones</w:t>
      </w:r>
      <w:r>
        <w:rPr>
          <w:rFonts w:ascii="Arial" w:hAnsi="Arial" w:cs="Arial"/>
        </w:rPr>
        <w:t>. Los candidatos a la Cámara de Representantes que se postulen a través de circunscripción especial deberán inscribirse ante el Registrador Nacional o su delegado, salvo en el caso de los colombianos residentes en el exterior, quienes deberán inscribirse ante el consulado o embajada de Colombia de su residencia.</w:t>
      </w:r>
    </w:p>
    <w:p w:rsidR="007F7B73" w:rsidRDefault="007F7B73" w:rsidP="007F7B73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ARTÍCULO 7º.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Incompatibilidades e inhabilidades</w:t>
      </w:r>
      <w:r>
        <w:rPr>
          <w:rFonts w:ascii="Arial" w:hAnsi="Arial" w:cs="Arial"/>
        </w:rPr>
        <w:t>. Los Representantes a la Cámara elegidos a través de esta circunscripción especial están sujetos al régimen general de inhabilidades e incompatibilidades de los congresistas.</w:t>
      </w:r>
    </w:p>
    <w:p w:rsidR="007F7B73" w:rsidRDefault="007F7B73" w:rsidP="007F7B73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ARTÍCULO 8º.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Requisitos generales</w:t>
      </w:r>
      <w:r>
        <w:rPr>
          <w:rFonts w:ascii="Arial" w:hAnsi="Arial" w:cs="Arial"/>
        </w:rPr>
        <w:t>. Para ser elegido Representante a la Cámara a través de esta circunscripción especial se requiere ser ciudadano colombiano en ejercicio y tener más de 25 años de edad en la fecha de la elección.</w:t>
      </w:r>
    </w:p>
    <w:p w:rsidR="007F7B73" w:rsidRDefault="007F7B73" w:rsidP="007F7B73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ARTÍCULO 9º.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Tarjetas electorales</w:t>
      </w:r>
      <w:r>
        <w:rPr>
          <w:rFonts w:ascii="Arial" w:hAnsi="Arial" w:cs="Arial"/>
        </w:rPr>
        <w:t>. Los candidatos a la Cámara de Representantes que aspiren por esta circunscripción en el marco de lo establecido en los artículos 2o. y 3o., aparecerán en una tarjeta electoral de circulación nacional donde se distinguirán con claridad los candidatos de las comunidades indígenas y los candidatos de las comunidades negras.</w:t>
      </w:r>
    </w:p>
    <w:p w:rsidR="007F7B73" w:rsidRDefault="007F7B73" w:rsidP="007F7B73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ARTÍCULO 10.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Asignación de curules</w:t>
      </w:r>
      <w:r>
        <w:rPr>
          <w:rFonts w:ascii="Arial" w:hAnsi="Arial" w:cs="Arial"/>
        </w:rPr>
        <w:t>. Los Representantes a la Cámara por la circunscripción especial serán elegidos mediante el sistema que en el momento sirva de escogencia a los congresistas</w:t>
      </w:r>
    </w:p>
    <w:p w:rsidR="007F7B73" w:rsidRDefault="007F7B73" w:rsidP="007F7B73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ARTÍCULO 11. </w:t>
      </w:r>
      <w:r>
        <w:rPr>
          <w:rFonts w:ascii="Arial" w:hAnsi="Arial" w:cs="Arial"/>
          <w:i/>
          <w:iCs/>
        </w:rPr>
        <w:t>Prohibición.</w:t>
      </w:r>
      <w:r>
        <w:rPr>
          <w:rFonts w:ascii="Arial" w:hAnsi="Arial" w:cs="Arial"/>
        </w:rPr>
        <w:t xml:space="preserve"> Ninguna persona podrá votar simultáneamente por un candidato a la Cámara de circunscripción territorial y por un candidato a la Cámara de circunscripción especial.</w:t>
      </w:r>
    </w:p>
    <w:p w:rsidR="007F7B73" w:rsidRDefault="007F7B73" w:rsidP="007F7B73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ARTÍCULO 12.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Elecciones</w:t>
      </w:r>
      <w:r>
        <w:rPr>
          <w:rFonts w:ascii="Arial" w:hAnsi="Arial" w:cs="Arial"/>
        </w:rPr>
        <w:t>. La primera elección a la Cámara de Representantes por circunscripción especial, se efectuará conjunta con la próxima elección que del Congreso se realice luego de la entrada en vigor de esta ley.</w:t>
      </w:r>
    </w:p>
    <w:p w:rsidR="007F7B73" w:rsidRDefault="007F7B73" w:rsidP="007F7B73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ARTÍCULO 13. </w:t>
      </w:r>
      <w:r>
        <w:rPr>
          <w:rFonts w:ascii="Arial" w:hAnsi="Arial" w:cs="Arial"/>
          <w:i/>
          <w:iCs/>
        </w:rPr>
        <w:t>Subsidiariedad.</w:t>
      </w:r>
      <w:r>
        <w:rPr>
          <w:rFonts w:ascii="Arial" w:hAnsi="Arial" w:cs="Arial"/>
        </w:rPr>
        <w:t xml:space="preserve"> En lo no previsto por esta ley la elección a la Cámara de Representantes por circunscripción especial se regirá por las normas que reglamentan la circunscripción territorial de la Cámara de Representantes.</w:t>
      </w:r>
    </w:p>
    <w:p w:rsidR="007F7B73" w:rsidRDefault="007F7B73" w:rsidP="007F7B73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CAPITULO II</w:t>
      </w:r>
    </w:p>
    <w:p w:rsidR="007F7B73" w:rsidRDefault="007F7B73" w:rsidP="007F7B73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 la vigencia</w:t>
      </w:r>
    </w:p>
    <w:p w:rsidR="007F7B73" w:rsidRDefault="007F7B73" w:rsidP="007F7B73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ARTÍCULO 14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i/>
          <w:iCs/>
        </w:rPr>
        <w:t>Vigencia.</w:t>
      </w:r>
      <w:r>
        <w:rPr>
          <w:rFonts w:ascii="Arial" w:hAnsi="Arial" w:cs="Arial"/>
        </w:rPr>
        <w:t xml:space="preserve"> Esta ley rige a partir de su promulgación.</w:t>
      </w:r>
    </w:p>
    <w:p w:rsidR="007F7B73" w:rsidRDefault="007F7B73" w:rsidP="007F7B73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El Presidente del honorable Senado de la República,</w:t>
      </w:r>
    </w:p>
    <w:p w:rsidR="007F7B73" w:rsidRDefault="007F7B73" w:rsidP="007F7B73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MARIO URIBE ESCOBAR.</w:t>
      </w:r>
    </w:p>
    <w:p w:rsidR="007F7B73" w:rsidRDefault="007F7B73" w:rsidP="007F7B73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El Secretario General del honorable Senado de la República,</w:t>
      </w:r>
    </w:p>
    <w:p w:rsidR="007F7B73" w:rsidRDefault="007F7B73" w:rsidP="007F7B73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MANUEL ENRÍQUEZ ROSERO.</w:t>
      </w:r>
    </w:p>
    <w:p w:rsidR="007F7B73" w:rsidRDefault="007F7B73" w:rsidP="007F7B73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El Presidente de la honorable Cámara de Representantes,</w:t>
      </w:r>
    </w:p>
    <w:p w:rsidR="007F7B73" w:rsidRDefault="007F7B73" w:rsidP="007F7B73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BASILIO VILLAMIZAR TRUJILLO.</w:t>
      </w:r>
    </w:p>
    <w:p w:rsidR="007F7B73" w:rsidRDefault="007F7B73" w:rsidP="007F7B73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El Secretario General de la honorable Cámara de Representantes,</w:t>
      </w:r>
    </w:p>
    <w:p w:rsidR="007F7B73" w:rsidRDefault="007F7B73" w:rsidP="007F7B73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ANGELINO LIZCANO RIVERA.</w:t>
      </w:r>
    </w:p>
    <w:p w:rsidR="007F7B73" w:rsidRDefault="007F7B73" w:rsidP="007F7B73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REPUBLICA DE COLOMBIA - GOBIERNO NACIONAL</w:t>
      </w:r>
    </w:p>
    <w:p w:rsidR="007F7B73" w:rsidRDefault="007F7B73" w:rsidP="007F7B73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Publíquese y cúmplase.</w:t>
      </w:r>
    </w:p>
    <w:p w:rsidR="007F7B73" w:rsidRDefault="007F7B73" w:rsidP="007F7B73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Dada en Bogotá, D. C., a 27 de marzo de 2001.</w:t>
      </w:r>
    </w:p>
    <w:p w:rsidR="007F7B73" w:rsidRDefault="007F7B73" w:rsidP="007F7B73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ANDRES PASTRANA ARANGO</w:t>
      </w:r>
    </w:p>
    <w:p w:rsidR="007F7B73" w:rsidRDefault="007F7B73" w:rsidP="007F7B73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El Ministro del Interior,</w:t>
      </w:r>
    </w:p>
    <w:p w:rsidR="007F7B73" w:rsidRDefault="007F7B73" w:rsidP="007F7B73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Armando Estrada Villa.</w:t>
      </w:r>
    </w:p>
    <w:p w:rsidR="007F7B73" w:rsidRDefault="007F7B73" w:rsidP="007F7B73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DIARIO OFICIAL</w:t>
      </w:r>
    </w:p>
    <w:p w:rsidR="007F7B73" w:rsidRDefault="007F7B73" w:rsidP="007F7B73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Bogotá, Miércoles 28 de marzo de 2001</w:t>
      </w:r>
    </w:p>
    <w:p w:rsidR="007F7B73" w:rsidRDefault="007F7B73" w:rsidP="007F7B73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Año CXXXVI No. 44.371</w:t>
      </w:r>
    </w:p>
    <w:p w:rsidR="00033CD0" w:rsidRDefault="007F7B73">
      <w:r w:rsidRPr="007F7B73">
        <w:t>http://www.alcaldiabogota.gov.co/sisjur/normas/Norma1.jsp?i=4157#1</w:t>
      </w:r>
    </w:p>
    <w:sectPr w:rsidR="00033CD0" w:rsidSect="00033C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1"/>
  <w:proofState w:spelling="clean" w:grammar="clean"/>
  <w:defaultTabStop w:val="708"/>
  <w:hyphenationZone w:val="425"/>
  <w:characterSpacingControl w:val="doNotCompress"/>
  <w:compat/>
  <w:rsids>
    <w:rsidRoot w:val="00AE7137"/>
    <w:rsid w:val="00033CD0"/>
    <w:rsid w:val="007F7B73"/>
    <w:rsid w:val="00A61E1B"/>
    <w:rsid w:val="00AE7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16"/>
        <w:sz w:val="24"/>
        <w:szCs w:val="22"/>
        <w:lang w:val="es-E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C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7B73"/>
    <w:pPr>
      <w:spacing w:before="100" w:beforeAutospacing="1" w:after="100" w:afterAutospacing="1"/>
      <w:jc w:val="left"/>
    </w:pPr>
    <w:rPr>
      <w:rFonts w:eastAsia="Times New Roman" w:cs="Times New Roman"/>
      <w:kern w:val="0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2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932</Words>
  <Characters>5132</Characters>
  <Application>Microsoft Office Word</Application>
  <DocSecurity>0</DocSecurity>
  <Lines>42</Lines>
  <Paragraphs>12</Paragraphs>
  <ScaleCrop>false</ScaleCrop>
  <Company/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2010-07-13T14:49:00Z</dcterms:created>
  <dcterms:modified xsi:type="dcterms:W3CDTF">2010-07-13T14:51:00Z</dcterms:modified>
</cp:coreProperties>
</file>