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ED4" w:rsidRPr="00B60ED4" w:rsidRDefault="00B60ED4" w:rsidP="00B60ED4">
      <w:pPr>
        <w:spacing w:after="0"/>
        <w:rPr>
          <w:rFonts w:ascii="Georgia" w:eastAsia="Times New Roman" w:hAnsi="Georgia" w:cs="Times New Roman"/>
          <w:vanish/>
          <w:kern w:val="0"/>
          <w:szCs w:val="24"/>
          <w:lang w:eastAsia="es-ES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594"/>
      </w:tblGrid>
      <w:tr w:rsidR="00B60ED4" w:rsidRPr="00B60ED4">
        <w:trPr>
          <w:tblCellSpacing w:w="15" w:type="dxa"/>
        </w:trPr>
        <w:tc>
          <w:tcPr>
            <w:tcW w:w="0" w:type="auto"/>
            <w:vAlign w:val="center"/>
            <w:hideMark/>
          </w:tcPr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b/>
                <w:bCs/>
                <w:color w:val="808080"/>
                <w:kern w:val="0"/>
                <w:sz w:val="28"/>
                <w:szCs w:val="28"/>
                <w:lang w:eastAsia="es-ES"/>
              </w:rPr>
              <w:t>ACTO LEGISLATIVO 2 DE 2007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(julio 6)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Diario Oficial No. 46.681 de 6 de julio de 2007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CONGRESO DE LA REPÚBLICA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Por medio del cual se modifican los artículos </w:t>
            </w:r>
            <w:hyperlink r:id="rId4" w:anchor="328" w:tgtFrame="_blank" w:history="1">
              <w:r w:rsidRPr="00B60ED4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328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y </w:t>
            </w:r>
            <w:hyperlink r:id="rId5" w:anchor="356" w:tgtFrame="_blank" w:history="1">
              <w:r w:rsidRPr="00B60ED4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356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Constitución Política de Colombia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DECRETA: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0" w:name="1"/>
            <w:bookmarkEnd w:id="0"/>
            <w:r w:rsidRPr="00B60ED4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ARTÍCULO 1o.</w:t>
            </w: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&lt;Apartes tachados INEXEQUIBLES&gt; Adiciónese el siguiente párrafo al artículo </w:t>
            </w:r>
            <w:hyperlink r:id="rId6" w:anchor="356" w:tgtFrame="_blank" w:history="1">
              <w:r w:rsidRPr="00B60ED4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356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Constitución Política: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La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>s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ciudad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>es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de Buenaventura 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 xml:space="preserve">y </w:t>
            </w:r>
            <w:proofErr w:type="spellStart"/>
            <w:r w:rsidRPr="00B60ED4">
              <w:rPr>
                <w:rFonts w:ascii="Georgia" w:eastAsia="Times New Roman" w:hAnsi="Georgia" w:cs="Times New Roman"/>
                <w:i/>
                <w:iCs/>
                <w:strike/>
                <w:color w:val="FF0000"/>
                <w:kern w:val="0"/>
                <w:szCs w:val="24"/>
                <w:lang w:eastAsia="es-ES"/>
              </w:rPr>
              <w:t>Tumaco</w:t>
            </w:r>
            <w:proofErr w:type="spellEnd"/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se organiza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>n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como Distrito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>s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Especial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>es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>, Industrial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>es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>, Portuario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>s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>, Biodiverso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>s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y </w:t>
            </w:r>
            <w:proofErr w:type="spellStart"/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>Ecoturístico</w:t>
            </w:r>
            <w:r w:rsidRPr="00B60ED4">
              <w:rPr>
                <w:rFonts w:ascii="Georgia" w:eastAsia="Times New Roman" w:hAnsi="Georgia" w:cs="Times New Roman"/>
                <w:strike/>
                <w:color w:val="FF0000"/>
                <w:kern w:val="0"/>
                <w:szCs w:val="24"/>
                <w:lang w:eastAsia="es-ES"/>
              </w:rPr>
              <w:t>s</w:t>
            </w:r>
            <w:proofErr w:type="spellEnd"/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Su régimen político, fiscal y administrativo será el que determine la Constitución y las leyes especiales, que para el efecto se dicten, y en lo no dispuesto en ellas, las normas vigentes para los municipios.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i/>
                <w:iCs/>
                <w:strike/>
                <w:color w:val="FF0000"/>
                <w:kern w:val="0"/>
                <w:szCs w:val="24"/>
                <w:lang w:eastAsia="es-ES"/>
              </w:rPr>
              <w:t xml:space="preserve">La ciudad de Popayán se organiza como Distrito Especial </w:t>
            </w:r>
            <w:proofErr w:type="spellStart"/>
            <w:r w:rsidRPr="00B60ED4">
              <w:rPr>
                <w:rFonts w:ascii="Georgia" w:eastAsia="Times New Roman" w:hAnsi="Georgia" w:cs="Times New Roman"/>
                <w:i/>
                <w:iCs/>
                <w:strike/>
                <w:color w:val="FF0000"/>
                <w:kern w:val="0"/>
                <w:szCs w:val="24"/>
                <w:lang w:eastAsia="es-ES"/>
              </w:rPr>
              <w:t>Ecoturístico</w:t>
            </w:r>
            <w:proofErr w:type="spellEnd"/>
            <w:r w:rsidRPr="00B60ED4">
              <w:rPr>
                <w:rFonts w:ascii="Georgia" w:eastAsia="Times New Roman" w:hAnsi="Georgia" w:cs="Times New Roman"/>
                <w:i/>
                <w:iCs/>
                <w:strike/>
                <w:color w:val="FF0000"/>
                <w:kern w:val="0"/>
                <w:szCs w:val="24"/>
                <w:lang w:eastAsia="es-ES"/>
              </w:rPr>
              <w:t>, Histórico y Universitario. Su régimen político, fiscal y administrativo será el que determine la Constitución y las leyes especiales que para el efecto se dicten y en lo no dispuesto en ellas las normas vigentes para los municipios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i/>
                <w:iCs/>
                <w:strike/>
                <w:color w:val="FF0000"/>
                <w:kern w:val="0"/>
                <w:szCs w:val="24"/>
                <w:lang w:eastAsia="es-ES"/>
              </w:rPr>
              <w:t>La Ciudad de Tunja, capital del departamento de Boyacá, se organizará como Distrito Histórico y Cultural, con un régimen Fiscal y Administrativo propio determinado por la Constitución y por las leyes especiales que para el efecto se expidan.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i/>
                <w:iCs/>
                <w:strike/>
                <w:color w:val="FF0000"/>
                <w:kern w:val="0"/>
                <w:szCs w:val="24"/>
                <w:lang w:eastAsia="es-ES"/>
              </w:rPr>
              <w:t>El municipio portuario de Turbo (Antioquia) también se constituirá en Distrito Especial.</w:t>
            </w:r>
          </w:p>
          <w:p w:rsidR="00B60ED4" w:rsidRPr="00B60ED4" w:rsidRDefault="00B60ED4" w:rsidP="00B60ED4">
            <w:pPr>
              <w:spacing w:after="138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i/>
                <w:iCs/>
                <w:strike/>
                <w:color w:val="FF0000"/>
                <w:kern w:val="0"/>
                <w:szCs w:val="24"/>
                <w:lang w:eastAsia="es-ES"/>
              </w:rPr>
              <w:t>El municipio de Cúcuta se constituirá como Distrito Especial Fronterizo y Turístico.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color w:val="0000FF"/>
                <w:kern w:val="0"/>
                <w:sz w:val="20"/>
                <w:szCs w:val="20"/>
                <w:lang w:eastAsia="es-ES"/>
              </w:rPr>
            </w:pPr>
            <w:hyperlink r:id="rId7" w:history="1">
              <w:r w:rsidRPr="00B60ED4">
                <w:rPr>
                  <w:rFonts w:ascii="Georgia" w:eastAsia="Times New Roman" w:hAnsi="Georgia" w:cs="Times New Roman"/>
                  <w:color w:val="0000FF"/>
                  <w:kern w:val="0"/>
                  <w:sz w:val="20"/>
                  <w:u w:val="single"/>
                  <w:lang w:eastAsia="es-ES"/>
                </w:rPr>
                <w:t>&lt;Jurisprudencia Vigencia&gt;</w:t>
              </w:r>
            </w:hyperlink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33FFFF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8488"/>
            </w:tblGrid>
            <w:tr w:rsidR="00B60ED4" w:rsidRPr="00B60ED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FFFF"/>
                  <w:vAlign w:val="center"/>
                  <w:hideMark/>
                </w:tcPr>
                <w:p w:rsidR="00B60ED4" w:rsidRPr="00B60ED4" w:rsidRDefault="00B60ED4" w:rsidP="00B60ED4">
                  <w:pPr>
                    <w:spacing w:after="0"/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</w:pPr>
                </w:p>
              </w:tc>
            </w:tr>
          </w:tbl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1" w:name="2"/>
            <w:bookmarkEnd w:id="1"/>
            <w:r w:rsidRPr="00B60ED4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ARTÍCULO 2o.</w:t>
            </w: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El artículo </w:t>
            </w:r>
            <w:hyperlink r:id="rId8" w:anchor="328" w:tgtFrame="_blank" w:history="1">
              <w:r w:rsidRPr="00B60ED4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328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Constitución Política quedará así: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El Distrito Turístico y Cultural de Cartagena de Indias, el Distrito Turístico, Cultural e histórico de Santa Marta y Barranquilla </w:t>
            </w:r>
            <w:proofErr w:type="gramStart"/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>conservarán</w:t>
            </w:r>
            <w:proofErr w:type="gramEnd"/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su régimen y carácter, y se organiza a Buenaventura y </w:t>
            </w:r>
            <w:proofErr w:type="spellStart"/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>Tumaco</w:t>
            </w:r>
            <w:proofErr w:type="spellEnd"/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 como Distrito Especial, Industrial, Portuario, Biodiverso y </w:t>
            </w:r>
            <w:proofErr w:type="spellStart"/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>Ecoturísmo</w:t>
            </w:r>
            <w:proofErr w:type="spellEnd"/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>.</w:t>
            </w:r>
          </w:p>
          <w:p w:rsidR="00B60ED4" w:rsidRPr="00B60ED4" w:rsidRDefault="00B60ED4" w:rsidP="00B60ED4">
            <w:pPr>
              <w:spacing w:after="138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i/>
                <w:iCs/>
                <w:color w:val="000080"/>
                <w:kern w:val="0"/>
                <w:szCs w:val="24"/>
                <w:lang w:eastAsia="es-ES"/>
              </w:rPr>
              <w:t>PARÁGRAFO.</w:t>
            </w: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&lt;Parágrafo INEXEQUIBLE&gt; 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color w:val="0000FF"/>
                <w:kern w:val="0"/>
                <w:sz w:val="20"/>
                <w:szCs w:val="20"/>
                <w:lang w:eastAsia="es-ES"/>
              </w:rPr>
            </w:pPr>
            <w:hyperlink r:id="rId9" w:history="1">
              <w:r w:rsidRPr="00B60ED4">
                <w:rPr>
                  <w:rFonts w:ascii="Georgia" w:eastAsia="Times New Roman" w:hAnsi="Georgia" w:cs="Times New Roman"/>
                  <w:color w:val="0000FF"/>
                  <w:kern w:val="0"/>
                  <w:sz w:val="20"/>
                  <w:u w:val="single"/>
                  <w:lang w:eastAsia="es-ES"/>
                </w:rPr>
                <w:t>&lt;Jurisprudencia Vigencia&gt;</w:t>
              </w:r>
            </w:hyperlink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33FFFF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8488"/>
            </w:tblGrid>
            <w:tr w:rsidR="00B60ED4" w:rsidRPr="00B60ED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33FFFF"/>
                  <w:vAlign w:val="center"/>
                  <w:hideMark/>
                </w:tcPr>
                <w:p w:rsidR="00B60ED4" w:rsidRPr="00B60ED4" w:rsidRDefault="00B60ED4" w:rsidP="00B60ED4">
                  <w:pPr>
                    <w:spacing w:after="0"/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</w:pPr>
                </w:p>
              </w:tc>
            </w:tr>
          </w:tbl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color w:val="0000FF"/>
                <w:kern w:val="0"/>
                <w:sz w:val="20"/>
                <w:szCs w:val="20"/>
                <w:lang w:eastAsia="es-ES"/>
              </w:rPr>
            </w:pPr>
            <w:hyperlink r:id="rId10" w:history="1">
              <w:r w:rsidRPr="00B60ED4">
                <w:rPr>
                  <w:rFonts w:ascii="Georgia" w:eastAsia="Times New Roman" w:hAnsi="Georgia" w:cs="Times New Roman"/>
                  <w:color w:val="0000FF"/>
                  <w:kern w:val="0"/>
                  <w:sz w:val="20"/>
                  <w:u w:val="single"/>
                  <w:lang w:eastAsia="es-ES"/>
                </w:rPr>
                <w:t>&lt;Legislación Anterior&gt;</w:t>
              </w:r>
            </w:hyperlink>
          </w:p>
          <w:tbl>
            <w:tblPr>
              <w:tblW w:w="5000" w:type="pct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shd w:val="clear" w:color="auto" w:fill="FFFF33"/>
              <w:tblCellMar>
                <w:top w:w="90" w:type="dxa"/>
                <w:left w:w="90" w:type="dxa"/>
                <w:bottom w:w="90" w:type="dxa"/>
                <w:right w:w="90" w:type="dxa"/>
              </w:tblCellMar>
              <w:tblLook w:val="04A0"/>
            </w:tblPr>
            <w:tblGrid>
              <w:gridCol w:w="8488"/>
            </w:tblGrid>
            <w:tr w:rsidR="00B60ED4" w:rsidRPr="00B60ED4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FFF33"/>
                  <w:vAlign w:val="center"/>
                  <w:hideMark/>
                </w:tcPr>
                <w:p w:rsidR="00B60ED4" w:rsidRPr="00B60ED4" w:rsidRDefault="00B60ED4" w:rsidP="00B60ED4">
                  <w:pPr>
                    <w:spacing w:after="0"/>
                    <w:rPr>
                      <w:rFonts w:ascii="Georgia" w:eastAsia="Times New Roman" w:hAnsi="Georgia" w:cs="Times New Roman"/>
                      <w:kern w:val="0"/>
                      <w:szCs w:val="24"/>
                      <w:lang w:eastAsia="es-ES"/>
                    </w:rPr>
                  </w:pPr>
                </w:p>
              </w:tc>
            </w:tr>
          </w:tbl>
          <w:p w:rsidR="00B60ED4" w:rsidRPr="00B60ED4" w:rsidRDefault="00B60ED4" w:rsidP="00B60ED4">
            <w:pPr>
              <w:spacing w:after="138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bookmarkStart w:id="2" w:name="3"/>
            <w:bookmarkEnd w:id="2"/>
            <w:r w:rsidRPr="00B60ED4">
              <w:rPr>
                <w:rFonts w:ascii="Georgia" w:eastAsia="Times New Roman" w:hAnsi="Georgia" w:cs="Times New Roman"/>
                <w:color w:val="000080"/>
                <w:kern w:val="0"/>
                <w:szCs w:val="24"/>
                <w:lang w:eastAsia="es-ES"/>
              </w:rPr>
              <w:t>ARTÍCULO 3o.</w:t>
            </w: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Este acto legislativo rige a partir de su promulgación 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La Presidenta del honorable Senado de la República,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DILIAN FRANCISCA TORO TORRES.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Secretario General del honorable Senado de la República,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EMILIO RAMÓN OTERO DAJUD.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Presidente de la honorable Cámara de Representantes,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ALFREDO APE CUELLO BAUTE.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Secretario General de la honorable Cámara de Representantes,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ANGELINO LIZCANO RIVERA.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Bogotá, D. C., 22 de junio de 2007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Doctor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ÁLVARO URIBE VÉLEZ 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lastRenderedPageBreak/>
              <w:t xml:space="preserve">Presidente de la República 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Bogotá, D. C.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Excelentísimo señor Presidente: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Acompañado de todos sus antecedentes y en cumplimiento a lo ordenado en los artículos </w:t>
            </w:r>
            <w:hyperlink r:id="rId11" w:anchor="157" w:tgtFrame="_blank" w:history="1">
              <w:r w:rsidRPr="00B60ED4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157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numeral 4 de la Constitución Política y </w:t>
            </w:r>
            <w:hyperlink r:id="rId12" w:anchor="196" w:tgtFrame="_blank" w:history="1">
              <w:r w:rsidRPr="00B60ED4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196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Ley 5ª de 1992, comedidamente me permito remitir el Proyecto de acto legislativo número 060 de 2006 Cámara, 014 de 2006 Senado, </w:t>
            </w:r>
            <w:r w:rsidRPr="00B60ED4">
              <w:rPr>
                <w:rFonts w:ascii="Georgia" w:eastAsia="Times New Roman" w:hAnsi="Georgia" w:cs="Times New Roman"/>
                <w:i/>
                <w:iCs/>
                <w:kern w:val="0"/>
                <w:szCs w:val="24"/>
                <w:lang w:eastAsia="es-ES"/>
              </w:rPr>
              <w:t xml:space="preserve">por medio del cual se modifican los artículos </w:t>
            </w:r>
            <w:hyperlink r:id="rId13" w:anchor="328" w:tgtFrame="_blank" w:history="1">
              <w:r w:rsidRPr="00B60ED4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328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y </w:t>
            </w:r>
            <w:hyperlink r:id="rId14" w:anchor="256" w:tgtFrame="_blank" w:history="1">
              <w:r w:rsidRPr="00B60ED4">
                <w:rPr>
                  <w:rFonts w:ascii="Georgia" w:eastAsia="Times New Roman" w:hAnsi="Georgia" w:cs="Times New Roman"/>
                  <w:i/>
                  <w:iCs/>
                  <w:color w:val="000000"/>
                  <w:kern w:val="0"/>
                  <w:szCs w:val="24"/>
                  <w:u w:val="single"/>
                  <w:lang w:eastAsia="es-ES"/>
                </w:rPr>
                <w:t>256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Constitución Política de Colombia.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El proyecto de acto legislativo en mención fue debatido y aprobado por el Congreso de la República en las siguientes fechas: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Comisión Primera era Cámara de Representantes: septiembre 26 de 2006 (Primera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Plenaria de la honorable Cámara de Representantes: octubre 10 de 2006 (Primera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Comisión Accidental Cámara de Representantes: diciembre 13 de 2006 (Primera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Comisión Primera Cámara de Representantes: abril 24 de 2007 (Segunda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Plenaria de la honorable Cámara de Representantes: mayo 8 de 2006 (Segunda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Comisión Primera Senado de la República: noviembre 14 de 2006 (Primera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Plenaria del Senado de la República: diciembre 11 de 2006 (Primera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Comisión Accidental Senado de la República: diciembre 13 de 2006 (Primera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Comisión Primera Senado de la República: mayo 30 de 2007 (Segunda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Plenaria del Senado de la República: junio 14 de 2007 (Segunda Vuelta).</w:t>
            </w:r>
          </w:p>
          <w:p w:rsidR="00B60ED4" w:rsidRPr="00B60ED4" w:rsidRDefault="00B60ED4" w:rsidP="00B60ED4">
            <w:pPr>
              <w:spacing w:after="0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Comisión Accidental Cámara de Representantes: junio 19 de 2007 (Segunda Vuelta).</w:t>
            </w:r>
          </w:p>
          <w:p w:rsidR="00B60ED4" w:rsidRPr="00B60ED4" w:rsidRDefault="00B60ED4" w:rsidP="00B60ED4">
            <w:pPr>
              <w:spacing w:after="138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Comisión Accidental Senado de la República: junio 19 de 2007(Segunda Vuelta).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Cordialmente,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ALFREDO APE CUELLO BAUTE,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Presidente.</w:t>
            </w:r>
          </w:p>
          <w:p w:rsidR="00B60ED4" w:rsidRPr="00B60ED4" w:rsidRDefault="00B60ED4" w:rsidP="00B60ED4">
            <w:pPr>
              <w:spacing w:after="138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Anexo expediente legislativo y dos (2) textos de ley. 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b/>
                <w:bCs/>
                <w:kern w:val="0"/>
                <w:szCs w:val="24"/>
                <w:lang w:eastAsia="es-ES"/>
              </w:rPr>
              <w:t>ACTO LEGISLATIVO 2 DE 2007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(julio 6)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por medio del cual se modifican los artículos </w:t>
            </w:r>
            <w:hyperlink r:id="rId15" w:anchor="328" w:tgtFrame="_blank" w:history="1">
              <w:r w:rsidRPr="00B60ED4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328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y </w:t>
            </w:r>
            <w:hyperlink r:id="rId16" w:anchor="356" w:tgtFrame="_blank" w:history="1">
              <w:r w:rsidRPr="00B60ED4">
                <w:rPr>
                  <w:rFonts w:ascii="Georgia" w:eastAsia="Times New Roman" w:hAnsi="Georgia" w:cs="Times New Roman"/>
                  <w:color w:val="000000"/>
                  <w:kern w:val="0"/>
                  <w:szCs w:val="24"/>
                  <w:u w:val="single"/>
                  <w:lang w:eastAsia="es-ES"/>
                </w:rPr>
                <w:t>356</w:t>
              </w:r>
            </w:hyperlink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la Constitución </w:t>
            </w:r>
            <w:proofErr w:type="spellStart"/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>Politica</w:t>
            </w:r>
            <w:proofErr w:type="spellEnd"/>
            <w:r w:rsidRPr="00B60ED4">
              <w:rPr>
                <w:rFonts w:ascii="Georgia" w:eastAsia="Times New Roman" w:hAnsi="Georgia" w:cs="Times New Roman"/>
                <w:kern w:val="0"/>
                <w:szCs w:val="24"/>
                <w:lang w:eastAsia="es-ES"/>
              </w:rPr>
              <w:t xml:space="preserve"> de Colombia</w:t>
            </w:r>
          </w:p>
          <w:p w:rsidR="00B60ED4" w:rsidRPr="00B60ED4" w:rsidRDefault="00B60ED4" w:rsidP="00B60ED4">
            <w:pPr>
              <w:spacing w:after="0"/>
              <w:jc w:val="center"/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</w:pPr>
            <w:r w:rsidRPr="00B60ED4">
              <w:rPr>
                <w:rFonts w:ascii="Georgia" w:eastAsia="Times New Roman" w:hAnsi="Georgia" w:cs="Times New Roman"/>
                <w:color w:val="808080"/>
                <w:kern w:val="0"/>
                <w:szCs w:val="24"/>
                <w:lang w:eastAsia="es-ES"/>
              </w:rPr>
              <w:t>EL CONGRESO DE COLOMBIA</w:t>
            </w:r>
          </w:p>
        </w:tc>
      </w:tr>
    </w:tbl>
    <w:p w:rsidR="00033CD0" w:rsidRDefault="00B60ED4">
      <w:r w:rsidRPr="00B60ED4">
        <w:lastRenderedPageBreak/>
        <w:t>http://www.secretariasenado.gov.co/senado/basedoc/cp/acto_legislativo_02_2007.html</w:t>
      </w:r>
    </w:p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8"/>
  <w:proofState w:spelling="clean" w:grammar="clean"/>
  <w:defaultTabStop w:val="708"/>
  <w:hyphenationZone w:val="425"/>
  <w:characterSpacingControl w:val="doNotCompress"/>
  <w:compat/>
  <w:rsids>
    <w:rsidRoot w:val="00ED1E8E"/>
    <w:rsid w:val="00033CD0"/>
    <w:rsid w:val="00A61E1B"/>
    <w:rsid w:val="00B60ED4"/>
    <w:rsid w:val="00E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B60ED4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B60ED4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B60ED4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B60ED4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B60ED4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textonavy1">
    <w:name w:val="texto_navy1"/>
    <w:basedOn w:val="Fuentedeprrafopredeter"/>
    <w:rsid w:val="00B60ED4"/>
    <w:rPr>
      <w:color w:val="000080"/>
    </w:rPr>
  </w:style>
  <w:style w:type="character" w:customStyle="1" w:styleId="textored1">
    <w:name w:val="texto_red1"/>
    <w:basedOn w:val="Fuentedeprrafopredeter"/>
    <w:rsid w:val="00B60ED4"/>
    <w:rPr>
      <w:color w:val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092373">
      <w:bodyDiv w:val="1"/>
      <w:marLeft w:val="138"/>
      <w:marRight w:val="138"/>
      <w:marTop w:val="138"/>
      <w:marBottom w:val="138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53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13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5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4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7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10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55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cretariasenado.gov.co/senado/basedoc/cp/constitucion_politica_1991_pr010.html" TargetMode="External"/><Relationship Id="rId13" Type="http://schemas.openxmlformats.org/officeDocument/2006/relationships/hyperlink" Target="http://www.secretariasenado.gov.co/senado/basedoc/cp/constitucion_politica_1991_pr010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javascript:insRow1()" TargetMode="External"/><Relationship Id="rId12" Type="http://schemas.openxmlformats.org/officeDocument/2006/relationships/hyperlink" Target="http://www.secretariasenado.gov.co/senado/basedoc/ley/1992/ley_0005_1992_pr007.html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www.secretariasenado.gov.co/senado/basedoc/cp/constitucion_politica_1991_pr011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secretariasenado.gov.co/senado/basedoc/cp/constitucion_politica_1991_pr011.html" TargetMode="External"/><Relationship Id="rId11" Type="http://schemas.openxmlformats.org/officeDocument/2006/relationships/hyperlink" Target="http://www.secretariasenado.gov.co/senado/basedoc/cp/constitucion_politica_1991_pr005.html" TargetMode="External"/><Relationship Id="rId5" Type="http://schemas.openxmlformats.org/officeDocument/2006/relationships/hyperlink" Target="http://www.secretariasenado.gov.co/senado/basedoc/cp/constitucion_politica_1991_pr011.html" TargetMode="External"/><Relationship Id="rId15" Type="http://schemas.openxmlformats.org/officeDocument/2006/relationships/hyperlink" Target="http://www.secretariasenado.gov.co/senado/basedoc/cp/constitucion_politica_1991_pr010.html" TargetMode="External"/><Relationship Id="rId10" Type="http://schemas.openxmlformats.org/officeDocument/2006/relationships/hyperlink" Target="javascript:insRow3()" TargetMode="External"/><Relationship Id="rId4" Type="http://schemas.openxmlformats.org/officeDocument/2006/relationships/hyperlink" Target="http://www.secretariasenado.gov.co/senado/basedoc/cp/constitucion_politica_1991_pr010.html" TargetMode="External"/><Relationship Id="rId9" Type="http://schemas.openxmlformats.org/officeDocument/2006/relationships/hyperlink" Target="javascript:insRow2()" TargetMode="External"/><Relationship Id="rId14" Type="http://schemas.openxmlformats.org/officeDocument/2006/relationships/hyperlink" Target="http://www.secretariasenado.gov.co/senado/basedoc/cp/constitucion_politica_1991_pr008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2</cp:revision>
  <dcterms:created xsi:type="dcterms:W3CDTF">2010-07-13T16:50:00Z</dcterms:created>
  <dcterms:modified xsi:type="dcterms:W3CDTF">2010-07-13T16:54:00Z</dcterms:modified>
</cp:coreProperties>
</file>