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1C" w:rsidRDefault="004E701C" w:rsidP="004E701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ACTO LEGISLATIVO 1 DE 1995</w:t>
      </w:r>
    </w:p>
    <w:p w:rsidR="004E701C" w:rsidRDefault="004E701C" w:rsidP="004E701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(Diciembre 1º)</w:t>
      </w:r>
    </w:p>
    <w:p w:rsidR="004E701C" w:rsidRDefault="004E701C" w:rsidP="004E701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"Por el cual se adiciona el artículo 357 de la Constitución Política".</w:t>
      </w:r>
    </w:p>
    <w:p w:rsidR="004E701C" w:rsidRDefault="004E701C" w:rsidP="004E701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Congreso de Colombia,</w:t>
      </w:r>
    </w:p>
    <w:p w:rsidR="004E701C" w:rsidRDefault="004E701C" w:rsidP="004E701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DECRETA:</w:t>
      </w:r>
    </w:p>
    <w:p w:rsidR="004E701C" w:rsidRDefault="004E701C" w:rsidP="004E701C">
      <w:pPr>
        <w:pStyle w:val="NormalWeb"/>
        <w:rPr>
          <w:rFonts w:ascii="Arial" w:hAnsi="Arial" w:cs="Arial"/>
        </w:rPr>
      </w:pPr>
      <w:hyperlink r:id="rId4" w:anchor="1" w:history="1">
        <w:r>
          <w:rPr>
            <w:rStyle w:val="Hipervnculo"/>
            <w:rFonts w:ascii="Arial" w:hAnsi="Arial" w:cs="Arial"/>
          </w:rPr>
          <w:t>Ver Acto Legislativo No. 01 de 2001</w:t>
        </w:r>
      </w:hyperlink>
      <w:r>
        <w:rPr>
          <w:rFonts w:ascii="Arial" w:hAnsi="Arial" w:cs="Arial"/>
        </w:rPr>
        <w:t xml:space="preserve"> </w:t>
      </w:r>
    </w:p>
    <w:p w:rsidR="004E701C" w:rsidRDefault="004E701C" w:rsidP="004E701C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ARTICULO 1º. </w:t>
      </w:r>
      <w:r>
        <w:rPr>
          <w:rFonts w:ascii="Arial" w:hAnsi="Arial" w:cs="Arial"/>
        </w:rPr>
        <w:t>El artículo 357 de la Constitución Política quedará así:</w:t>
      </w:r>
    </w:p>
    <w:p w:rsidR="004E701C" w:rsidRDefault="004E701C" w:rsidP="004E701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"</w:t>
      </w:r>
      <w:r>
        <w:rPr>
          <w:rFonts w:ascii="Arial" w:hAnsi="Arial" w:cs="Arial"/>
          <w:i/>
          <w:iCs/>
        </w:rPr>
        <w:t>Artículo 357</w:t>
      </w:r>
      <w:r>
        <w:rPr>
          <w:rFonts w:ascii="Arial" w:hAnsi="Arial" w:cs="Arial"/>
        </w:rPr>
        <w:t>.-Los municipios participarán en los ingresos corrientes de la Nación. La ley, a iniciativa del gobierno, determinará el porcentaje mínimo de esa participación y definirá las áreas prioritarias de inversión social que se financiarán con dichos recursos. Para los efectos de esa participación, la ley determinará los resguardos indígenas que serán considerados como municipios.</w:t>
      </w:r>
    </w:p>
    <w:p w:rsidR="004E701C" w:rsidRDefault="004E701C" w:rsidP="004E701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Los recursos provenientes de esa participación serán distribuidos por la ley de conformidad con los siguientes criterios: sesenta por ciento (60%) en proporción directa al número de habitantes con necesidades básicas insatisfechas y al nivel relativo de pobreza de la población del respectivo municipio; el resto en función de la población, la eficiencia fiscal y administrativa y el progreso demostrado en calidad de vida, asignando en forma exclusiva un porcentaje de esa parte a los municipios menores de 50.000 habitantes.</w:t>
      </w:r>
    </w:p>
    <w:p w:rsidR="004E701C" w:rsidRDefault="004E701C" w:rsidP="004E701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La ley precisará el alcance, los criterios de distribución aquí previstos, y dispondrá que un porcentaje de estos ingresos se invierta en las zonas rurales. Cada cinco (5) años, la ley a iniciativa del Congreso, podrá revisar estos porcentajes de distribución.</w:t>
      </w:r>
    </w:p>
    <w:p w:rsidR="004E701C" w:rsidRDefault="004E701C" w:rsidP="004E701C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PARAGRAFO</w:t>
      </w:r>
      <w:r>
        <w:rPr>
          <w:rFonts w:ascii="Arial" w:hAnsi="Arial" w:cs="Arial"/>
        </w:rPr>
        <w:t>. La participación de los municipios en los ingresos corrientes de la Nación se incrementará, año por año, del catorce por ciento (14%) de 1993 hasta alcanzar el veintidós por ciento (22%) como mínimo en el 2001. La ley fijará el aumento gradual de estas transferencias y definirá las nuevas responsabilidades que en materia de inversión social asumirán los municipios y las condiciones para su cumplimiento. Sus autoridades deberán demostrar a los organismos de evaluación y control de resultados la eficiente y correcta aplicación de estos recursos y, en caso de mal manejo, se harán acreedores a las sanciones que establezca la ley.</w:t>
      </w:r>
    </w:p>
    <w:p w:rsidR="004E701C" w:rsidRDefault="004E701C" w:rsidP="004E701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Estarán excluidos de la participación anterior, los impuestos nuevos cuando el Congreso así lo determine y, por el primer año de vigencia, los ajustes a los tributos existentes y los que se arbitren por medidas de emergencia económica.</w:t>
      </w:r>
    </w:p>
    <w:p w:rsidR="004E701C" w:rsidRDefault="004E701C" w:rsidP="004E701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partir del año 2000, los municipios clasificados en las categorías cuarta, quinta y sexta, de conformidad con las normas vigentes, podrán destinar libremente, para inversión o para otros gastos, hasta un quince por ciento (15%) de los recursos que perciban por concepto de la participación.</w:t>
      </w:r>
    </w:p>
    <w:p w:rsidR="004E701C" w:rsidRDefault="004E701C" w:rsidP="004E701C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PARAGRAFO TRANSITORIO 1º.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Establécese</w:t>
      </w:r>
      <w:proofErr w:type="spellEnd"/>
      <w:r>
        <w:rPr>
          <w:rFonts w:ascii="Arial" w:hAnsi="Arial" w:cs="Arial"/>
        </w:rPr>
        <w:t xml:space="preserve"> para los años 1995 a 1999, inclusive, un período de transición durante el cual los municipios, de conformidad con la categorización consagrada en las normas vigentes, destinarán libremente para inversión o para otros gastos, un porcentaje máximo de los recursos de la participación, de la siguiente forma:</w:t>
      </w:r>
    </w:p>
    <w:p w:rsidR="004E701C" w:rsidRDefault="004E701C" w:rsidP="004E701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Categorías 2ª y 3ª: hasta el 25% en 1995; hasta el 20% en 1996; hasta el 15% en 1997; hasta el 10% en 1998, y hasta el 5% en 1999.</w:t>
      </w:r>
    </w:p>
    <w:p w:rsidR="004E701C" w:rsidRDefault="004E701C" w:rsidP="004E701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Categorías 4ª, 5ª y 6ª: hasta el 30% en 1995; hasta el 27% en 1996; hasta el 24% en 1997; hasta el 21% en 1998, y hasta el 18% en 1999.</w:t>
      </w:r>
    </w:p>
    <w:p w:rsidR="004E701C" w:rsidRDefault="004E701C" w:rsidP="004E701C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TRANSITORIO 2º. </w:t>
      </w:r>
      <w:r>
        <w:rPr>
          <w:rFonts w:ascii="Arial" w:hAnsi="Arial" w:cs="Arial"/>
        </w:rPr>
        <w:t>El parágrafo segundo transitorio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quedará así:</w:t>
      </w:r>
    </w:p>
    <w:p w:rsidR="004E701C" w:rsidRDefault="004E701C" w:rsidP="004E701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"A partir de 1996 y hasta el año 1999, un porcentaje creciente de la participación se distribuirá entre los municipios de acuerdo con los criterios establecidos en este artículo, de la siguiente manera: El 50% en 1996; el 60% en 1997; el 70% en 1998, y el 85% en 1999. El porcentaje restante de la participación en cada uno de los años del período de transición, se distribuirá en proporción directa al valor que hayan recibido los municipios y distritos por concepto de la transferencia del IVA en 1992. A partir del año 2000 entrarán en plena vigencia los criterios establecidos en el presente artículo para distribuir la participación".</w:t>
      </w:r>
    </w:p>
    <w:p w:rsidR="004E701C" w:rsidRDefault="004E701C" w:rsidP="004E701C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ARTICULO 2º- </w:t>
      </w:r>
      <w:r>
        <w:rPr>
          <w:rFonts w:ascii="Arial" w:hAnsi="Arial" w:cs="Arial"/>
        </w:rPr>
        <w:t>Este acto legislativo rige a partir de su promulgación.</w:t>
      </w:r>
    </w:p>
    <w:p w:rsidR="004E701C" w:rsidRDefault="004E701C" w:rsidP="004E701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Publíquese y ejecútese.</w:t>
      </w:r>
    </w:p>
    <w:p w:rsidR="004E701C" w:rsidRDefault="004E701C" w:rsidP="004E701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Dado en Santafé de Bogotá, D.C., a 1º de diciembre de 1995.</w:t>
      </w:r>
    </w:p>
    <w:p w:rsidR="004E701C" w:rsidRDefault="004E701C" w:rsidP="004E701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presidente del honorable Senado de la República,</w:t>
      </w:r>
    </w:p>
    <w:p w:rsidR="004E701C" w:rsidRDefault="004E701C" w:rsidP="004E701C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JULIO CÉSAR GUERRA TUIENA</w:t>
      </w:r>
    </w:p>
    <w:p w:rsidR="004E701C" w:rsidRDefault="004E701C" w:rsidP="004E701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Secretario General del honorable Senado de la República</w:t>
      </w:r>
    </w:p>
    <w:p w:rsidR="004E701C" w:rsidRDefault="004E701C" w:rsidP="004E701C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PEDRO PUMAREJO VEGA</w:t>
      </w:r>
    </w:p>
    <w:p w:rsidR="004E701C" w:rsidRDefault="004E701C" w:rsidP="004E701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Diario Oficial 42.159</w:t>
      </w:r>
    </w:p>
    <w:p w:rsidR="00033CD0" w:rsidRDefault="004E701C">
      <w:r w:rsidRPr="004E701C">
        <w:t>http://www.alcaldiabogota.gov.co/sisjur/normas/Norma1.jsp?i=4136#1</w:t>
      </w:r>
    </w:p>
    <w:sectPr w:rsidR="00033CD0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hyphenationZone w:val="425"/>
  <w:characterSpacingControl w:val="doNotCompress"/>
  <w:compat/>
  <w:rsids>
    <w:rsidRoot w:val="00ED1809"/>
    <w:rsid w:val="00033CD0"/>
    <w:rsid w:val="004E701C"/>
    <w:rsid w:val="00523684"/>
    <w:rsid w:val="00ED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E70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701C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caldiabogota.gov.co/sisjur/normas/Norma1.jsp?i=413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2010-07-13T18:04:00Z</dcterms:created>
  <dcterms:modified xsi:type="dcterms:W3CDTF">2010-07-13T18:05:00Z</dcterms:modified>
</cp:coreProperties>
</file>