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8A2E8B" w:rsidRDefault="008A2E8B" w:rsidP="008A2E8B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Definiciones y conceptos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A continuación se presentan algunos conceptos básicos asociados con el tema de cultura de modo que permita contextualizar las cifras, cuadros, tablas e indicadores presentados en el capítulo.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Áreas Artísticas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Unidades en los cuales se dividen los procesos culturales y artísticos: música, danza, teatro, artes visuales, literatura, lectura y bibliotecas, patrimonio, medios de comunicación ciudadanos y comunitarios, antropología, arqueología, historia, y todas las demás que surjan de la evolución sociocultural.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Bienes de Interés Cultural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Se consideran bienes de interés cultural (BIC) aquellos bienes materiales que las autoridades competentes han declarado como monumentos, áreas de conservación histórica, arqueológica, arquitectónica, conjuntos históricos, o mediante otras denominaciones vigentes antes de la promulgación de la ley 1185 de 2008. Los BIC, pueden ser de los ámbitos nacional, departamental, distrital, municipal, de los territorios indígenas o de las comunidades negras de que trata la Ley 70 de 1993.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Circulación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Oportunidad que tienen los artistas y gestores culturales para mostrar su talento en espacios diferentes al lugar de residencia, como una posibilidad para difundir, promocionar y comercializar las expresiones artísticas y culturales, en este caso, de los antioqueños.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Creador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Se entiende por creador cualquier persona o grupo de personas generadoras de bienes y productos culturales a partir de la imaginación, la sensibilidad y la </w:t>
      </w:r>
      <w:r>
        <w:rPr>
          <w:rFonts w:ascii="Arial" w:hAnsi="Arial" w:cs="Arial"/>
          <w:color w:val="000000"/>
          <w:sz w:val="25"/>
          <w:szCs w:val="25"/>
        </w:rPr>
        <w:lastRenderedPageBreak/>
        <w:t>creatividad. Las expresiones creadoras, como expresión libre del pensamiento humano, generan identidad, sentido de pertenencia y enriquecen la diversidad cultural de país.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Consejos Municipales de Cultura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Son instancias de concertación entre el Estado y la sociedad civil, encargados de liderar y asesorar a los gobiernos municipales en la formulación y ejecución de las políticas y la planificación de los procesos culturales, conformados por actores culturales de los municipios.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Consejo Departamental de Cultura y Consejos Departamentales de las Artes y la Cultura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Son instancias de concertación entre el Estado y la sociedad civil, encargados de liderar y asesorar a los gobiernos departamentales en la formulación y ejecución de las políticas y la planificación de los procesos culturales, conformados por actores culturales de los departamentos.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En Antioquia existe un Consejo Departamental de Cultura activo, conformado por representantes de las diferentes áreas artísticas de todo el Departamento, y de los diferentes sectores que conforman la sociedad. Este Consejo se ve complementado por los 8 Consejos Departamentales de las Artes y la Cultura, conformados por líderes y representantes de las 9 regiones del Departamento, en las áreas de: música, danza, teatro, literatura, lectura y bibliotecas, cinematografía, medios de comunicación ciudadanos y comunitarios, artes visuales.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Cultura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Conjunto de rasgos distintivos, espirituales, materiales, intelectuales y emocionales que caracterizan a los grupos humanos y que comprende, más allá de las artes y las letras, modos de vida, derechos humanos, sistemas de valores, tradiciones y creencias.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Estampilla Procultura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Son recursos económicos que entran por ley a los municipios, para el fomento y el estímulo de la cultura, con destino a proyectos acordes con los planes nacionales y locales de cultura. El artículo 38 de la Ley General de Cultura reglamenta el funcionamiento de este recurso.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Estímulos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Recursos económicos, destinados a la creación, la actividad artística y cultura, la investigación y el fortalecimiento de las expresiones culturales.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Gestión Cultural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Conjunto de acciones que posibilitan el desarrollo cultural y el acceso de la comunidad a los bienes y servicios culturales que se desarrollan en el ámbito local, regional, departamental y nacional, liderados por agrupaciones artísticas y culturales, entidades, organizaciones y gobiernos locales, departamentales o nacionales.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Gestor Cultural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Impulsa los procesos culturales al interior de las comunidades, organizaciones e instituciones, a través de la participación, la democratización y descentralización del fomento de la actividad cultural.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Coordina como actividad permanente las acciones de administración, planeación, seguimiento y evaluación de los planes, programas y proyectos de las entidades y organizaciones culturales o de los eventos culturales comunitarios.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Infraestructura Cultural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Espacios aptos para la realización de actividades culturales. Se reconocen como espacios que componen la infraestructura cultural de los municipios: Casa de la </w:t>
      </w:r>
      <w:r>
        <w:rPr>
          <w:rFonts w:ascii="Arial" w:hAnsi="Arial" w:cs="Arial"/>
          <w:color w:val="000000"/>
          <w:sz w:val="25"/>
          <w:szCs w:val="25"/>
        </w:rPr>
        <w:lastRenderedPageBreak/>
        <w:t>Cultura, Museo, Biblioteca, Teatro, espacios o estructuras arquitectónicas declaradas como bienes de interés patrimonial.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Movilización Cultural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Se asemeja a los procesos de participación ciudadana, sin embargo aquí se centra específicamente en procesos relacionados con la cultura y el arte, como una posibilidad de hacer que la ciudadanía se involucre de manera participativa en los procesos de planificación y desarrollo, culturales y artísticos, de manera que se fomente el empoderamiento y reconocimiento de la ciudadanía, como principales actores del quehacer cultural.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Participación Ciudadana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Capacidad, disposición y apuesta de un ciudadano, para liderar y tomar parte en procesos sociales, organizativos y comunitarios, desde el reconocimiento del entorno al cual pertenece, la identificación y apropiación del mismo.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Patrimonio Cultural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Se refiere a los bienes y valores que son expresión de una comunidad, tales como la tradición, las costumbres y los hábitos, así como el conjunto de bienes inmateriales y materiales, muebles e inmuebles, que poseen un especial interés histórico, artístico, estético, plástico, arquitectónico, urbano, arqueológico, ambiental, ecológico, lingüístico, sonoro, musical, audiovisual, fílmico, científico, testimonial, documental, literario, bibliográfico, museológico, antropológico y las manifestaciones, los productos y las representaciones de la cultura popular.</w:t>
      </w:r>
    </w:p>
    <w:p w:rsidR="008A2E8B" w:rsidRDefault="008A2E8B" w:rsidP="008A2E8B">
      <w:pPr>
        <w:pStyle w:val="Ttulo3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Bibliografía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Ley General de Cultura 397 de 1997 (2013). Versión concordada y complementada con decretos, leyes y jurisprudencias. Incluye normatividad de Medellín y Antioquia. 2013.</w:t>
      </w:r>
    </w:p>
    <w:p w:rsidR="008A2E8B" w:rsidRDefault="008A2E8B" w:rsidP="008A2E8B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JARAMILLO, Orlanda. La biblioteca pública, un lugar para la formación ciudadana: referentes metodológicos del proceso de investigación. Revista Interamericana de Bibliotecología, Jul.-Dic. 2010, vol. 33, no. 2, p. 287-313, recuperada de: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" w:tgtFrame="_new" w:history="1">
        <w:r>
          <w:rPr>
            <w:rStyle w:val="Hipervnculo"/>
            <w:rFonts w:ascii="Arial" w:hAnsi="Arial" w:cs="Arial"/>
            <w:sz w:val="25"/>
            <w:szCs w:val="25"/>
          </w:rPr>
          <w:t>http://eprints.rclis.org/16871/1/7069.pdf</w:t>
        </w:r>
      </w:hyperlink>
    </w:p>
    <w:p w:rsidR="004A1762" w:rsidRPr="008A2E8B" w:rsidRDefault="004A1762" w:rsidP="008A2E8B">
      <w:bookmarkStart w:id="1" w:name="_GoBack"/>
      <w:bookmarkEnd w:id="1"/>
    </w:p>
    <w:sectPr w:rsidR="004A1762" w:rsidRPr="008A2E8B" w:rsidSect="006B5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2D" w:rsidRDefault="009F6B2D" w:rsidP="006B5390">
      <w:pPr>
        <w:spacing w:after="0" w:line="240" w:lineRule="auto"/>
      </w:pPr>
      <w:r>
        <w:separator/>
      </w:r>
    </w:p>
  </w:endnote>
  <w:endnote w:type="continuationSeparator" w:id="0">
    <w:p w:rsidR="009F6B2D" w:rsidRDefault="009F6B2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2D" w:rsidRDefault="009F6B2D" w:rsidP="006B5390">
      <w:pPr>
        <w:spacing w:after="0" w:line="240" w:lineRule="auto"/>
      </w:pPr>
      <w:r>
        <w:separator/>
      </w:r>
    </w:p>
  </w:footnote>
  <w:footnote w:type="continuationSeparator" w:id="0">
    <w:p w:rsidR="009F6B2D" w:rsidRDefault="009F6B2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1FD4"/>
    <w:multiLevelType w:val="multilevel"/>
    <w:tmpl w:val="782E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1567"/>
    <w:rsid w:val="003822B5"/>
    <w:rsid w:val="003A1E67"/>
    <w:rsid w:val="004469E2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2E8B"/>
    <w:rsid w:val="008A3E21"/>
    <w:rsid w:val="008C188D"/>
    <w:rsid w:val="00937FF8"/>
    <w:rsid w:val="00973C9C"/>
    <w:rsid w:val="00974828"/>
    <w:rsid w:val="009F6B2D"/>
    <w:rsid w:val="00B6496D"/>
    <w:rsid w:val="00B70C95"/>
    <w:rsid w:val="00BF24F4"/>
    <w:rsid w:val="00CB0852"/>
    <w:rsid w:val="00CD6A52"/>
    <w:rsid w:val="00CF26D0"/>
    <w:rsid w:val="00D133AD"/>
    <w:rsid w:val="00DC2AB6"/>
    <w:rsid w:val="00EE0E3D"/>
    <w:rsid w:val="00F210BE"/>
    <w:rsid w:val="00FB3573"/>
    <w:rsid w:val="00FE416E"/>
    <w:rsid w:val="00FF03C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381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45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9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0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3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86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prints.rclis.org/16871/1/706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1003</Words>
  <Characters>5518</Characters>
  <Application>Microsoft Office Word</Application>
  <DocSecurity>0</DocSecurity>
  <Lines>45</Lines>
  <Paragraphs>13</Paragraphs>
  <ScaleCrop>false</ScaleCrop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21</cp:revision>
  <dcterms:created xsi:type="dcterms:W3CDTF">2015-12-05T21:32:00Z</dcterms:created>
  <dcterms:modified xsi:type="dcterms:W3CDTF">2015-12-06T04:17:00Z</dcterms:modified>
</cp:coreProperties>
</file>