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BB68D2" w:rsidRPr="00BB68D2" w:rsidRDefault="00BB68D2" w:rsidP="00BB68D2">
      <w:pPr>
        <w:shd w:val="clear" w:color="auto" w:fill="F1F1F1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s-CO"/>
        </w:rPr>
      </w:pPr>
      <w:r w:rsidRPr="00BB68D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s-CO"/>
        </w:rPr>
        <w:t>Agradecimientos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bookmarkStart w:id="0" w:name="ficha"/>
      <w:bookmarkEnd w:id="0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Aeronáutica Civil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Aeropuerto Olaya Herrera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Agencia de Cooperación e Inversión de Medellín y el Área Metropolitana -ACI-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Almagrario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S.A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Área Metropolitana del Valle de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Aburrá</w:t>
      </w:r>
      <w:proofErr w:type="spellEnd"/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Asamblea Departamental de Antioquia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Banco Agrario de Colombia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Beneficencia de Antioquia -BENEBAN-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Biblioteca Pública Piloto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Centro de Atención y Rehabilitación Integral en Salud Mental de Antioquia -CARISMA-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Colegio Mayor de Antioquia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Concejo de Medellín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Contraloría General de Antioquia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Contraloría General de la República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Contraloría General de Medellín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Corporación Autónoma Regional de las Cuencas de los Ríos Negro y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Nare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-CORNARE-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Corporación Autónoma Regional del Centro de Antioquia -CORANTIOQUIA-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Corporación para el Desarrollo sostenible de Urabá-CORPOURABÁ-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Departamento Administrativo de Ciencia, Tecnología e Innovación-COLCIENCIAS-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Departamento Administrativo Nacional de Estadística -DANE-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Dirección de Impuestos y Aduanas Nacionales -DIAN-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Dirección Seccional de Administración Judicial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Desarrollo Urbano -EDU-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de Vivienda de Antioquia -VIVA-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 para la Seguridad Urbana de Medellín -ESU-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Públicas de Medellín -EPM-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Empresas Varias de Medellín E.S.P. -EMVARIAS-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Escuela Superior de Administración Pública ESAP-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Fiduciaria Central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lastRenderedPageBreak/>
        <w:t>Fiscalía General de la Nación -Seccional Antioquia y Medellín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Fondo de Valorización del Municipio de Medellín -FONVIAL-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Hidroeléctrica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Ituango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S.A. E.S.P.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Hidroeléctricas del Río Arma S.A.S. E.S.P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Hospital La María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Hospital Mental de Antioquia -HOMO-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Indeportes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Antioquia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Instituto Colombiano Agropecuario -ICA-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Instituto Colombiano de Bienestar Familiar-ICBF-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Instituto Colombiano de Crédito Educativo y Estudios Técnicos en el Exterior -ICETEX-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Instituto Colombiano de Desarrollo Rural -INCODER-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Instituto de Cultura y Patrimonio de Antioquia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Instituto de Deportes y Recreación de Medellín -INDER-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Instituto de Hidrología, Meteorología y Estudios Ambientales -IDEAM-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Instituto Geográfico Agustín Codazzi IGAC-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Instituto Nacional de Vías -INVIAS-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Instituto Nacional Penitenciario y Carcelario -INPEC-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Instituto para el Desarrollo de Antioquia -IDEA-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Instituto Tecnológico Metropolitano -ITM-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Jardín Botánico de Medellín Joaquín Antonio Uribe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La Previsora Seguros S.A.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Metro de Medellín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Metro Parques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Metro Salud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Metroplús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S.A.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Ministerio de Transporte Dirección Territorial Antioquia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Ministerio del Trabajo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Superintendencia de Notariado y Registro. Oficina de Instrumentos Públicos del Norte.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Superintendencia de Notariado y Registro. Oficina de Instrumentos Público del Sur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Parque Regional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Ecoturístico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Arví</w:t>
      </w:r>
      <w:proofErr w:type="spellEnd"/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El Instituto Técnico Industrial Pascual Bravo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lastRenderedPageBreak/>
        <w:t>Pensiones de Antioquia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Personería de Medellín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Plaza Mayor Medellín Convenciones y Exposiciones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Politécnico Colombiano Jaime Isaza Cadavid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Reforestadora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Industrial de Antioquia -RIA-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Registraduría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Nacional del Estado Civil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Renting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de Antioquia S.A.S.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Corporación Ruta N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Servicio Geológico Colombiano SGC-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Servicio Nacional de Aprendizaje -SENA-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Superintendencia de Industria y Comercio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Tecnológico de Antioquia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Teleantioquia</w:t>
      </w:r>
      <w:proofErr w:type="spellEnd"/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Telemedellín</w:t>
      </w:r>
      <w:proofErr w:type="spellEnd"/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Terminales de Transporte de Medellín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UNE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Universidad de Antioquia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Universidad Nacional de Colombia.</w:t>
      </w:r>
    </w:p>
    <w:p w:rsidR="00BB68D2" w:rsidRPr="00BB68D2" w:rsidRDefault="00BB68D2" w:rsidP="00BB68D2">
      <w:pPr>
        <w:numPr>
          <w:ilvl w:val="0"/>
          <w:numId w:val="5"/>
        </w:numPr>
        <w:shd w:val="clear" w:color="auto" w:fill="F1F1F1"/>
        <w:tabs>
          <w:tab w:val="clear" w:pos="720"/>
          <w:tab w:val="num" w:pos="-240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Municipios del Departamento que suministraron información:</w:t>
      </w:r>
    </w:p>
    <w:p w:rsidR="00BB68D2" w:rsidRPr="00BB68D2" w:rsidRDefault="00BB68D2" w:rsidP="00BB68D2">
      <w:pPr>
        <w:numPr>
          <w:ilvl w:val="1"/>
          <w:numId w:val="5"/>
        </w:numPr>
        <w:shd w:val="clear" w:color="auto" w:fill="F1F1F1"/>
        <w:tabs>
          <w:tab w:val="clear" w:pos="1440"/>
          <w:tab w:val="num" w:pos="480"/>
        </w:tabs>
        <w:spacing w:before="100" w:beforeAutospacing="1" w:after="100" w:afterAutospacing="1" w:line="375" w:lineRule="atLeast"/>
        <w:ind w:left="108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bookmarkStart w:id="1" w:name="_GoBack"/>
      <w:bookmarkEnd w:id="1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Medellín, Barbosa, Bello, Caldas, Copacabana, Envigado, Girardota, Itagüí, La Estrella, Sabaneta, Cáceres, Caucasia,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Tarazá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Zaragoza, Caracolí, Maceo, Puerto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Berrío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Puerto Triunfo,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Yondó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Amalfi,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Anorí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Cisneros, Remedios, San Roque, Santo Domingo, Segovia,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Vegachí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Yalí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Yolombó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Angostura,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Belmira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Campamento, Carolina del Príncipe,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Donmatías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Entrerríos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Gómez Plata, Guadalupe,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Ituango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San Andrés de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Cuerquia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San José de la Montaña, Santa Rosa de Osos,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Yarumal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Anzá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Armenia, Caicedo,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Cañasgordas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Ebéjico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Frontino, Giraldo, Heliconia,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Liborina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Olaya, Peque, Sabanalarga, San Jerónimo, Santa Fe de Antioquia,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Abejorral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Alejandría,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Cocorná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Concepción, El Carmen de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Viboral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El Peñol, El Retiro, El Santuario, Granada, Guarne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Guatapé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La Ceja del Tambo, La Unión, Marinilla, Nariño,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Rionegro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San Carlos, San Francisco, San Luis, San Vicente Ferrer,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Sonsón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Amagá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Andes, Betania,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Betulia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Caramanta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Concordia,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lastRenderedPageBreak/>
        <w:t>Fredonia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Hispania, Jardín, Jericó, La Pintada, Montebello,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Pueblorrico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Salgar, Santa Bárbara, Támesis, Tarso, Titiribí,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Urrao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Valparaíso, Venecia,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Apartadó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Arboletes,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Chigorodó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Murindó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Mutatá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, </w:t>
      </w:r>
      <w:proofErr w:type="spellStart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Necoclí</w:t>
      </w:r>
      <w:proofErr w:type="spellEnd"/>
      <w:r w:rsidRPr="00BB68D2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, San Pedro de Urabá, Turbo, Vigía del Fuerte.</w:t>
      </w:r>
    </w:p>
    <w:p w:rsidR="00E969C8" w:rsidRPr="00BB68D2" w:rsidRDefault="00E969C8" w:rsidP="00BB68D2"/>
    <w:sectPr w:rsidR="00E969C8" w:rsidRPr="00BB68D2" w:rsidSect="006B5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EC9" w:rsidRDefault="00154EC9" w:rsidP="006B5390">
      <w:pPr>
        <w:spacing w:after="0" w:line="240" w:lineRule="auto"/>
      </w:pPr>
      <w:r>
        <w:separator/>
      </w:r>
    </w:p>
  </w:endnote>
  <w:endnote w:type="continuationSeparator" w:id="0">
    <w:p w:rsidR="00154EC9" w:rsidRDefault="00154EC9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EC9" w:rsidRDefault="00154EC9" w:rsidP="006B5390">
      <w:pPr>
        <w:spacing w:after="0" w:line="240" w:lineRule="auto"/>
      </w:pPr>
      <w:r>
        <w:separator/>
      </w:r>
    </w:p>
  </w:footnote>
  <w:footnote w:type="continuationSeparator" w:id="0">
    <w:p w:rsidR="00154EC9" w:rsidRDefault="00154EC9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902D1"/>
    <w:multiLevelType w:val="multilevel"/>
    <w:tmpl w:val="5998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DD766D"/>
    <w:multiLevelType w:val="multilevel"/>
    <w:tmpl w:val="2DAEBD72"/>
    <w:lvl w:ilvl="0">
      <w:start w:val="1"/>
      <w:numFmt w:val="bullet"/>
      <w:lvlText w:val=""/>
      <w:lvlJc w:val="left"/>
      <w:pPr>
        <w:tabs>
          <w:tab w:val="num" w:pos="-468"/>
        </w:tabs>
        <w:ind w:left="-4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"/>
        </w:tabs>
        <w:ind w:left="2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  <w:sz w:val="20"/>
      </w:rPr>
    </w:lvl>
  </w:abstractNum>
  <w:abstractNum w:abstractNumId="2">
    <w:nsid w:val="5CBF637E"/>
    <w:multiLevelType w:val="multilevel"/>
    <w:tmpl w:val="6BD42394"/>
    <w:lvl w:ilvl="0">
      <w:start w:val="1"/>
      <w:numFmt w:val="bullet"/>
      <w:lvlText w:val=""/>
      <w:lvlJc w:val="left"/>
      <w:pPr>
        <w:tabs>
          <w:tab w:val="num" w:pos="-1944"/>
        </w:tabs>
        <w:ind w:left="-19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224"/>
        </w:tabs>
        <w:ind w:left="-12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504"/>
        </w:tabs>
        <w:ind w:left="-5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"/>
        </w:tabs>
        <w:ind w:left="2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  <w:sz w:val="20"/>
      </w:rPr>
    </w:lvl>
  </w:abstractNum>
  <w:abstractNum w:abstractNumId="3">
    <w:nsid w:val="75FC0C69"/>
    <w:multiLevelType w:val="multilevel"/>
    <w:tmpl w:val="87A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7C4BA5"/>
    <w:multiLevelType w:val="hybridMultilevel"/>
    <w:tmpl w:val="64823B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154EC9"/>
    <w:rsid w:val="002A3796"/>
    <w:rsid w:val="002E03B0"/>
    <w:rsid w:val="00317E2E"/>
    <w:rsid w:val="003A0F9F"/>
    <w:rsid w:val="006B5390"/>
    <w:rsid w:val="007D4549"/>
    <w:rsid w:val="008C14FF"/>
    <w:rsid w:val="00937FF8"/>
    <w:rsid w:val="00BB68D2"/>
    <w:rsid w:val="00C3482D"/>
    <w:rsid w:val="00CB0852"/>
    <w:rsid w:val="00CF26D0"/>
    <w:rsid w:val="00DB1D7A"/>
    <w:rsid w:val="00E969C8"/>
    <w:rsid w:val="00FA578F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9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481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0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44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470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22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066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677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9</cp:revision>
  <dcterms:created xsi:type="dcterms:W3CDTF">2015-12-05T21:32:00Z</dcterms:created>
  <dcterms:modified xsi:type="dcterms:W3CDTF">2015-12-06T00:52:00Z</dcterms:modified>
</cp:coreProperties>
</file>