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1F1F1"/>
  <w:body>
    <w:p w:rsidR="00294EDD" w:rsidRPr="00294EDD" w:rsidRDefault="00294EDD" w:rsidP="00294EDD">
      <w:pPr>
        <w:shd w:val="clear" w:color="auto" w:fill="F1F1F1"/>
        <w:spacing w:before="100" w:beforeAutospacing="1" w:after="100" w:afterAutospacing="1" w:line="240" w:lineRule="auto"/>
        <w:outlineLvl w:val="0"/>
        <w:rPr>
          <w:rFonts w:ascii="Arial" w:eastAsia="Times New Roman" w:hAnsi="Arial" w:cs="Arial"/>
          <w:b/>
          <w:bCs/>
          <w:color w:val="000000"/>
          <w:kern w:val="36"/>
          <w:sz w:val="48"/>
          <w:szCs w:val="48"/>
          <w:lang w:eastAsia="es-CO"/>
        </w:rPr>
      </w:pPr>
      <w:r w:rsidRPr="00294EDD">
        <w:rPr>
          <w:rFonts w:ascii="Arial" w:eastAsia="Times New Roman" w:hAnsi="Arial" w:cs="Arial"/>
          <w:b/>
          <w:bCs/>
          <w:color w:val="000000"/>
          <w:kern w:val="36"/>
          <w:sz w:val="48"/>
          <w:szCs w:val="48"/>
          <w:lang w:eastAsia="es-CO"/>
        </w:rPr>
        <w:t>Definiciones y conceptos</w:t>
      </w:r>
    </w:p>
    <w:p w:rsidR="00294EDD" w:rsidRPr="00294EDD" w:rsidRDefault="00294EDD" w:rsidP="00294EDD">
      <w:pPr>
        <w:shd w:val="clear" w:color="auto" w:fill="F1F1F1"/>
        <w:spacing w:before="100" w:beforeAutospacing="1" w:after="100" w:afterAutospacing="1" w:line="240" w:lineRule="auto"/>
        <w:outlineLvl w:val="2"/>
        <w:rPr>
          <w:rFonts w:ascii="Arial" w:eastAsia="Times New Roman" w:hAnsi="Arial" w:cs="Arial"/>
          <w:b/>
          <w:bCs/>
          <w:color w:val="000000"/>
          <w:sz w:val="27"/>
          <w:szCs w:val="27"/>
          <w:lang w:eastAsia="es-CO"/>
        </w:rPr>
      </w:pPr>
      <w:bookmarkStart w:id="0" w:name="ficha"/>
      <w:bookmarkEnd w:id="0"/>
      <w:r w:rsidRPr="00294EDD">
        <w:rPr>
          <w:rFonts w:ascii="Arial" w:eastAsia="Times New Roman" w:hAnsi="Arial" w:cs="Arial"/>
          <w:b/>
          <w:bCs/>
          <w:color w:val="000000"/>
          <w:sz w:val="27"/>
          <w:szCs w:val="27"/>
          <w:lang w:eastAsia="es-CO"/>
        </w:rPr>
        <w:t>Producción</w:t>
      </w:r>
    </w:p>
    <w:p w:rsidR="00294EDD" w:rsidRPr="00294EDD" w:rsidRDefault="00294EDD" w:rsidP="00294EDD">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294EDD">
        <w:rPr>
          <w:rFonts w:ascii="Arial" w:eastAsia="Times New Roman" w:hAnsi="Arial" w:cs="Arial"/>
          <w:color w:val="000000"/>
          <w:sz w:val="25"/>
          <w:szCs w:val="25"/>
          <w:lang w:eastAsia="es-CO"/>
        </w:rPr>
        <w:t>La producción se define como la actividad económica socialmente organizada que combina factores para la creación de bienes y servicios destinados a satisfacer directa o indirectamente las necesidades humanas. Existen dos grandes categorías de productos y productores en el sistema:</w:t>
      </w:r>
    </w:p>
    <w:p w:rsidR="00294EDD" w:rsidRPr="00294EDD" w:rsidRDefault="00294EDD" w:rsidP="00294EDD">
      <w:pPr>
        <w:pStyle w:val="Prrafodelista"/>
        <w:numPr>
          <w:ilvl w:val="0"/>
          <w:numId w:val="6"/>
        </w:numPr>
        <w:shd w:val="clear" w:color="auto" w:fill="F1F1F1"/>
        <w:spacing w:before="100" w:beforeAutospacing="1" w:after="100" w:afterAutospacing="1" w:line="375" w:lineRule="atLeast"/>
        <w:rPr>
          <w:rFonts w:ascii="Arial" w:eastAsia="Times New Roman" w:hAnsi="Arial" w:cs="Arial"/>
          <w:color w:val="000000"/>
          <w:sz w:val="21"/>
          <w:szCs w:val="21"/>
          <w:lang w:eastAsia="es-CO"/>
        </w:rPr>
      </w:pPr>
      <w:r w:rsidRPr="00294EDD">
        <w:rPr>
          <w:rFonts w:ascii="Arial" w:eastAsia="Times New Roman" w:hAnsi="Arial" w:cs="Arial"/>
          <w:color w:val="000000"/>
          <w:sz w:val="21"/>
          <w:szCs w:val="21"/>
          <w:lang w:eastAsia="es-CO"/>
        </w:rPr>
        <w:t>Las mercancías, bienes y servicios que habitualmente se transan en el mercado a precios que normalmente cubren sus costos de producción.</w:t>
      </w:r>
    </w:p>
    <w:p w:rsidR="00294EDD" w:rsidRPr="00294EDD" w:rsidRDefault="00294EDD" w:rsidP="00294EDD">
      <w:pPr>
        <w:pStyle w:val="Prrafodelista"/>
        <w:numPr>
          <w:ilvl w:val="0"/>
          <w:numId w:val="6"/>
        </w:numPr>
        <w:shd w:val="clear" w:color="auto" w:fill="F1F1F1"/>
        <w:spacing w:before="100" w:beforeAutospacing="1" w:after="100" w:afterAutospacing="1" w:line="375" w:lineRule="atLeast"/>
        <w:rPr>
          <w:rFonts w:ascii="Arial" w:eastAsia="Times New Roman" w:hAnsi="Arial" w:cs="Arial"/>
          <w:color w:val="000000"/>
          <w:sz w:val="21"/>
          <w:szCs w:val="21"/>
          <w:lang w:eastAsia="es-CO"/>
        </w:rPr>
      </w:pPr>
      <w:r w:rsidRPr="00294EDD">
        <w:rPr>
          <w:rFonts w:ascii="Arial" w:eastAsia="Times New Roman" w:hAnsi="Arial" w:cs="Arial"/>
          <w:color w:val="000000"/>
          <w:sz w:val="21"/>
          <w:szCs w:val="21"/>
          <w:lang w:eastAsia="es-CO"/>
        </w:rPr>
        <w:t>Los otros bienes y servicios no mercantiles que en general se suministran en forma gratuita a la comunidad o a grupos particulares de ella.</w:t>
      </w:r>
    </w:p>
    <w:p w:rsidR="00294EDD" w:rsidRPr="00294EDD" w:rsidRDefault="00294EDD" w:rsidP="00294EDD">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294EDD">
        <w:rPr>
          <w:rFonts w:ascii="Arial" w:eastAsia="Times New Roman" w:hAnsi="Arial" w:cs="Arial"/>
          <w:color w:val="000000"/>
          <w:sz w:val="25"/>
          <w:szCs w:val="25"/>
          <w:lang w:eastAsia="es-CO"/>
        </w:rPr>
        <w:t>Fuente: DANE. Producto Interno Bruto -PIB- https://www.dane.gov.co/files/faqs/faq_pib.pdf. [Consulta: 04 de Junio de 2015].-</w:t>
      </w:r>
    </w:p>
    <w:p w:rsidR="00294EDD" w:rsidRPr="00294EDD" w:rsidRDefault="00294EDD" w:rsidP="00294EDD">
      <w:pPr>
        <w:shd w:val="clear" w:color="auto" w:fill="F1F1F1"/>
        <w:spacing w:before="100" w:beforeAutospacing="1" w:after="100" w:afterAutospacing="1" w:line="240" w:lineRule="auto"/>
        <w:outlineLvl w:val="2"/>
        <w:rPr>
          <w:rFonts w:ascii="Arial" w:eastAsia="Times New Roman" w:hAnsi="Arial" w:cs="Arial"/>
          <w:b/>
          <w:bCs/>
          <w:color w:val="000000"/>
          <w:sz w:val="27"/>
          <w:szCs w:val="27"/>
          <w:lang w:eastAsia="es-CO"/>
        </w:rPr>
      </w:pPr>
      <w:r w:rsidRPr="00294EDD">
        <w:rPr>
          <w:rFonts w:ascii="Arial" w:eastAsia="Times New Roman" w:hAnsi="Arial" w:cs="Arial"/>
          <w:b/>
          <w:bCs/>
          <w:color w:val="000000"/>
          <w:sz w:val="27"/>
          <w:szCs w:val="27"/>
          <w:lang w:eastAsia="es-CO"/>
        </w:rPr>
        <w:t>Cuentas económicas</w:t>
      </w:r>
    </w:p>
    <w:p w:rsidR="00294EDD" w:rsidRPr="00294EDD" w:rsidRDefault="00294EDD" w:rsidP="00294EDD">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294EDD">
        <w:rPr>
          <w:rFonts w:ascii="Arial" w:eastAsia="Times New Roman" w:hAnsi="Arial" w:cs="Arial"/>
          <w:color w:val="000000"/>
          <w:sz w:val="25"/>
          <w:szCs w:val="25"/>
          <w:lang w:eastAsia="es-CO"/>
        </w:rPr>
        <w:t>La contabilidad nacional es un sistema contable que permite conocer el estado de la economía y la dinámica de las actividades que en ella se desarrollan por parte del sector público y privado. El conocer el desempeño de las diferentes áreas de la economía, su incidencia en ésta y las relaciones que existen entre ellas, permite hacer una evaluación de las necesidades existentes y definir las políticas que se han de emprender en materia económica hacia el futuro. Igualmente, es un punto de referencia importante para diversas investigaciones históricas.</w:t>
      </w:r>
    </w:p>
    <w:p w:rsidR="00294EDD" w:rsidRPr="00294EDD" w:rsidRDefault="00294EDD" w:rsidP="00294EDD">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294EDD">
        <w:rPr>
          <w:rFonts w:ascii="Arial" w:eastAsia="Times New Roman" w:hAnsi="Arial" w:cs="Arial"/>
          <w:color w:val="000000"/>
          <w:sz w:val="25"/>
          <w:szCs w:val="25"/>
          <w:lang w:eastAsia="es-CO"/>
        </w:rPr>
        <w:t xml:space="preserve">La producción de una nación se mide a través del sistema de cuentas económicas nacionales, que tiene como objeto general conocer la estructura y el comportamiento económico en las diferentes regiones del territorio, y así poder suministrar los elementos de análisis para la planeación y el desarrollo regional. Las cuentas económicas registran el nivel agregado del producto, el </w:t>
      </w:r>
      <w:r w:rsidRPr="00294EDD">
        <w:rPr>
          <w:rFonts w:ascii="Arial" w:eastAsia="Times New Roman" w:hAnsi="Arial" w:cs="Arial"/>
          <w:color w:val="000000"/>
          <w:sz w:val="25"/>
          <w:szCs w:val="25"/>
          <w:lang w:eastAsia="es-CO"/>
        </w:rPr>
        <w:lastRenderedPageBreak/>
        <w:t>ingreso, el ahorro, el consumo, los gastos nacionales y la inversión en la economía. Se pueden calcular desde cualquiera de estos puntos de vista porque, finalmente, resultan ser equivalentes si se tiene en cuenta que los gastos de unos son ingresos para los otros.</w:t>
      </w:r>
    </w:p>
    <w:p w:rsidR="00294EDD" w:rsidRPr="00294EDD" w:rsidRDefault="00294EDD" w:rsidP="00294EDD">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294EDD">
        <w:rPr>
          <w:rFonts w:ascii="Arial" w:eastAsia="Times New Roman" w:hAnsi="Arial" w:cs="Arial"/>
          <w:color w:val="000000"/>
          <w:sz w:val="25"/>
          <w:szCs w:val="25"/>
          <w:lang w:eastAsia="es-CO"/>
        </w:rPr>
        <w:t>Fuente: Banco de la República. Economía Colombiana, Cuentas Nacionales. http://www.banrepcultural.org/blaavirtual/ayudadetareas/economia/econo95.htm. [Consulta: 04 de Junio de 2015].</w:t>
      </w:r>
    </w:p>
    <w:p w:rsidR="00294EDD" w:rsidRPr="00294EDD" w:rsidRDefault="00294EDD" w:rsidP="00294EDD">
      <w:pPr>
        <w:shd w:val="clear" w:color="auto" w:fill="F1F1F1"/>
        <w:spacing w:before="100" w:beforeAutospacing="1" w:after="100" w:afterAutospacing="1" w:line="240" w:lineRule="auto"/>
        <w:outlineLvl w:val="2"/>
        <w:rPr>
          <w:rFonts w:ascii="Arial" w:eastAsia="Times New Roman" w:hAnsi="Arial" w:cs="Arial"/>
          <w:b/>
          <w:bCs/>
          <w:color w:val="000000"/>
          <w:sz w:val="27"/>
          <w:szCs w:val="27"/>
          <w:lang w:eastAsia="es-CO"/>
        </w:rPr>
      </w:pPr>
      <w:r w:rsidRPr="00294EDD">
        <w:rPr>
          <w:rFonts w:ascii="Arial" w:eastAsia="Times New Roman" w:hAnsi="Arial" w:cs="Arial"/>
          <w:b/>
          <w:bCs/>
          <w:color w:val="000000"/>
          <w:sz w:val="27"/>
          <w:szCs w:val="27"/>
          <w:lang w:eastAsia="es-CO"/>
        </w:rPr>
        <w:t>Valor agregado</w:t>
      </w:r>
    </w:p>
    <w:p w:rsidR="00294EDD" w:rsidRPr="00294EDD" w:rsidRDefault="00294EDD" w:rsidP="00294EDD">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294EDD">
        <w:rPr>
          <w:rFonts w:ascii="Arial" w:eastAsia="Times New Roman" w:hAnsi="Arial" w:cs="Arial"/>
          <w:color w:val="000000"/>
          <w:sz w:val="25"/>
          <w:szCs w:val="25"/>
          <w:lang w:eastAsia="es-CO"/>
        </w:rPr>
        <w:t>Es el mayor valor creado en el proceso de producción por efecto de la combinación de factores. Se obtiene como diferencia entre el valor de la producción bruta y los consumos intermedios empleados.</w:t>
      </w:r>
    </w:p>
    <w:p w:rsidR="00294EDD" w:rsidRPr="00294EDD" w:rsidRDefault="00294EDD" w:rsidP="00294EDD">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294EDD">
        <w:rPr>
          <w:rFonts w:ascii="Arial" w:eastAsia="Times New Roman" w:hAnsi="Arial" w:cs="Arial"/>
          <w:color w:val="000000"/>
          <w:sz w:val="25"/>
          <w:szCs w:val="25"/>
          <w:lang w:eastAsia="es-CO"/>
        </w:rPr>
        <w:t>Fuente: DANE. Ficha metodológica Cuentas Departamentales. http://www.dane.gov.co/files/investigaciones/fichas/Ficha_Met_CuentasDtales_06_13.pdf. [Consulta: 04 de Junio de 2015].</w:t>
      </w:r>
    </w:p>
    <w:p w:rsidR="00294EDD" w:rsidRPr="00294EDD" w:rsidRDefault="00294EDD" w:rsidP="00294EDD">
      <w:pPr>
        <w:shd w:val="clear" w:color="auto" w:fill="F1F1F1"/>
        <w:spacing w:before="100" w:beforeAutospacing="1" w:after="100" w:afterAutospacing="1" w:line="240" w:lineRule="auto"/>
        <w:outlineLvl w:val="2"/>
        <w:rPr>
          <w:rFonts w:ascii="Arial" w:eastAsia="Times New Roman" w:hAnsi="Arial" w:cs="Arial"/>
          <w:b/>
          <w:bCs/>
          <w:color w:val="000000"/>
          <w:sz w:val="27"/>
          <w:szCs w:val="27"/>
          <w:lang w:eastAsia="es-CO"/>
        </w:rPr>
      </w:pPr>
      <w:r w:rsidRPr="00294EDD">
        <w:rPr>
          <w:rFonts w:ascii="Arial" w:eastAsia="Times New Roman" w:hAnsi="Arial" w:cs="Arial"/>
          <w:b/>
          <w:bCs/>
          <w:color w:val="000000"/>
          <w:sz w:val="27"/>
          <w:szCs w:val="27"/>
          <w:lang w:eastAsia="es-CO"/>
        </w:rPr>
        <w:t>Producto Interno Bruto -PIB-</w:t>
      </w:r>
    </w:p>
    <w:p w:rsidR="00294EDD" w:rsidRPr="00294EDD" w:rsidRDefault="00294EDD" w:rsidP="00294EDD">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294EDD">
        <w:rPr>
          <w:rFonts w:ascii="Arial" w:eastAsia="Times New Roman" w:hAnsi="Arial" w:cs="Arial"/>
          <w:color w:val="000000"/>
          <w:sz w:val="25"/>
          <w:szCs w:val="25"/>
          <w:lang w:eastAsia="es-CO"/>
        </w:rPr>
        <w:t>Es el valor total de los bienes y servicios producidos en un país durante un cierto periodo de tiempo (generalmente un trimestre o un año); es decir, el total de lo que se produce con los recursos que se han utilizado en la economía, valorando cada bien final o servicio al precio que se maneja comúnmente en el mercado.</w:t>
      </w:r>
    </w:p>
    <w:p w:rsidR="00294EDD" w:rsidRPr="00294EDD" w:rsidRDefault="00294EDD" w:rsidP="00294EDD">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294EDD">
        <w:rPr>
          <w:rFonts w:ascii="Arial" w:eastAsia="Times New Roman" w:hAnsi="Arial" w:cs="Arial"/>
          <w:color w:val="000000"/>
          <w:sz w:val="25"/>
          <w:szCs w:val="25"/>
          <w:lang w:eastAsia="es-CO"/>
        </w:rPr>
        <w:t>Para el cálculo del PIB sólo se tiene en cuenta la producción que se realiza en el país, dentro de las fronteras geográficas de la nación, sin importar si ésta producción fue realizada por personas o empresas nacionales o extranjeras. Se mide desde el punto de vista del valor agregado, de la demanda final o las utilizaciones finales de los bienes y servicios y de los ingresos primarios distribuidos por las unidades de producción residentes.</w:t>
      </w:r>
    </w:p>
    <w:p w:rsidR="00294EDD" w:rsidRPr="00294EDD" w:rsidRDefault="00294EDD" w:rsidP="00294EDD">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294EDD">
        <w:rPr>
          <w:rFonts w:ascii="Arial" w:eastAsia="Times New Roman" w:hAnsi="Arial" w:cs="Arial"/>
          <w:color w:val="000000"/>
          <w:sz w:val="25"/>
          <w:szCs w:val="25"/>
          <w:lang w:eastAsia="es-CO"/>
        </w:rPr>
        <w:lastRenderedPageBreak/>
        <w:t>Fuente: DANE. Ficha metodológica Cuentas Departamentales. http://www.dane.gov.co/files/investigaciones/fichas/Ficha_Met_CuentasDtales_06_13.pdf. [Consulta: 04 de Junio de 2015].</w:t>
      </w:r>
    </w:p>
    <w:p w:rsidR="00294EDD" w:rsidRPr="00294EDD" w:rsidRDefault="00294EDD" w:rsidP="00294EDD">
      <w:pPr>
        <w:shd w:val="clear" w:color="auto" w:fill="F1F1F1"/>
        <w:spacing w:before="100" w:beforeAutospacing="1" w:after="100" w:afterAutospacing="1" w:line="240" w:lineRule="auto"/>
        <w:outlineLvl w:val="2"/>
        <w:rPr>
          <w:rFonts w:ascii="Arial" w:eastAsia="Times New Roman" w:hAnsi="Arial" w:cs="Arial"/>
          <w:b/>
          <w:bCs/>
          <w:color w:val="000000"/>
          <w:sz w:val="27"/>
          <w:szCs w:val="27"/>
          <w:lang w:eastAsia="es-CO"/>
        </w:rPr>
      </w:pPr>
      <w:r w:rsidRPr="00294EDD">
        <w:rPr>
          <w:rFonts w:ascii="Arial" w:eastAsia="Times New Roman" w:hAnsi="Arial" w:cs="Arial"/>
          <w:b/>
          <w:bCs/>
          <w:color w:val="000000"/>
          <w:sz w:val="27"/>
          <w:szCs w:val="27"/>
          <w:lang w:eastAsia="es-CO"/>
        </w:rPr>
        <w:t>Producto Interno Bruto -PIB- departamental</w:t>
      </w:r>
    </w:p>
    <w:p w:rsidR="00294EDD" w:rsidRPr="00294EDD" w:rsidRDefault="00294EDD" w:rsidP="00294EDD">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294EDD">
        <w:rPr>
          <w:rFonts w:ascii="Arial" w:eastAsia="Times New Roman" w:hAnsi="Arial" w:cs="Arial"/>
          <w:color w:val="000000"/>
          <w:sz w:val="25"/>
          <w:szCs w:val="25"/>
          <w:lang w:eastAsia="es-CO"/>
        </w:rPr>
        <w:t>Es un indicador utilizado para establecer el comportamiento económico del Departamento, mide la actividad productiva de las unidades residentes en el Departamento.</w:t>
      </w:r>
    </w:p>
    <w:p w:rsidR="00294EDD" w:rsidRPr="00294EDD" w:rsidRDefault="00294EDD" w:rsidP="00294EDD">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294EDD">
        <w:rPr>
          <w:rFonts w:ascii="Arial" w:eastAsia="Times New Roman" w:hAnsi="Arial" w:cs="Arial"/>
          <w:color w:val="000000"/>
          <w:sz w:val="25"/>
          <w:szCs w:val="25"/>
          <w:lang w:eastAsia="es-CO"/>
        </w:rPr>
        <w:t>Fuente: DANE. Ficha metodológica Cuentas Departamentales. http://www.dane.gov.co/files/investigaciones/fichas/Ficha_Met_CuentasDtales_06_13.pdf. [Consulta: 04 de Junio de 2015].</w:t>
      </w:r>
    </w:p>
    <w:p w:rsidR="00294EDD" w:rsidRPr="00294EDD" w:rsidRDefault="00294EDD" w:rsidP="00294EDD">
      <w:pPr>
        <w:shd w:val="clear" w:color="auto" w:fill="F1F1F1"/>
        <w:spacing w:before="100" w:beforeAutospacing="1" w:after="100" w:afterAutospacing="1" w:line="240" w:lineRule="auto"/>
        <w:outlineLvl w:val="2"/>
        <w:rPr>
          <w:rFonts w:ascii="Arial" w:eastAsia="Times New Roman" w:hAnsi="Arial" w:cs="Arial"/>
          <w:b/>
          <w:bCs/>
          <w:color w:val="000000"/>
          <w:sz w:val="27"/>
          <w:szCs w:val="27"/>
          <w:lang w:eastAsia="es-CO"/>
        </w:rPr>
      </w:pPr>
      <w:r w:rsidRPr="00294EDD">
        <w:rPr>
          <w:rFonts w:ascii="Arial" w:eastAsia="Times New Roman" w:hAnsi="Arial" w:cs="Arial"/>
          <w:b/>
          <w:bCs/>
          <w:color w:val="000000"/>
          <w:sz w:val="27"/>
          <w:szCs w:val="27"/>
          <w:lang w:eastAsia="es-CO"/>
        </w:rPr>
        <w:t>Producto Interno Bruto -PIB- per cápita</w:t>
      </w:r>
    </w:p>
    <w:p w:rsidR="00294EDD" w:rsidRPr="00294EDD" w:rsidRDefault="00294EDD" w:rsidP="00294EDD">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294EDD">
        <w:rPr>
          <w:rFonts w:ascii="Arial" w:eastAsia="Times New Roman" w:hAnsi="Arial" w:cs="Arial"/>
          <w:color w:val="000000"/>
          <w:sz w:val="25"/>
          <w:szCs w:val="25"/>
          <w:lang w:eastAsia="es-CO"/>
        </w:rPr>
        <w:t>Es el valor del PIB dividido por el número de habitantes de un país, mide el ingreso medio por habitante.</w:t>
      </w:r>
    </w:p>
    <w:p w:rsidR="00294EDD" w:rsidRPr="00294EDD" w:rsidRDefault="00294EDD" w:rsidP="00294EDD">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294EDD">
        <w:rPr>
          <w:rFonts w:ascii="Arial" w:eastAsia="Times New Roman" w:hAnsi="Arial" w:cs="Arial"/>
          <w:color w:val="000000"/>
          <w:sz w:val="25"/>
          <w:szCs w:val="25"/>
          <w:lang w:eastAsia="es-CO"/>
        </w:rPr>
        <w:t>Fuente: DANE. Metodología cuentas Departamentales base 2005. http://www.dane.gov.co/files/investigaciones/fichas/CuentasDepartamentales.pdf. [Consulta: 04 de Junio de 2015].</w:t>
      </w:r>
    </w:p>
    <w:p w:rsidR="00294EDD" w:rsidRPr="00294EDD" w:rsidRDefault="00294EDD" w:rsidP="00294EDD">
      <w:pPr>
        <w:shd w:val="clear" w:color="auto" w:fill="F1F1F1"/>
        <w:spacing w:before="100" w:beforeAutospacing="1" w:after="100" w:afterAutospacing="1" w:line="240" w:lineRule="auto"/>
        <w:outlineLvl w:val="2"/>
        <w:rPr>
          <w:rFonts w:ascii="Arial" w:eastAsia="Times New Roman" w:hAnsi="Arial" w:cs="Arial"/>
          <w:b/>
          <w:bCs/>
          <w:color w:val="000000"/>
          <w:sz w:val="27"/>
          <w:szCs w:val="27"/>
          <w:lang w:eastAsia="es-CO"/>
        </w:rPr>
      </w:pPr>
      <w:r w:rsidRPr="00294EDD">
        <w:rPr>
          <w:rFonts w:ascii="Arial" w:eastAsia="Times New Roman" w:hAnsi="Arial" w:cs="Arial"/>
          <w:b/>
          <w:bCs/>
          <w:color w:val="000000"/>
          <w:sz w:val="27"/>
          <w:szCs w:val="27"/>
          <w:lang w:eastAsia="es-CO"/>
        </w:rPr>
        <w:t>Ramas de actividad económica</w:t>
      </w:r>
    </w:p>
    <w:p w:rsidR="00294EDD" w:rsidRPr="00294EDD" w:rsidRDefault="00294EDD" w:rsidP="00294EDD">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294EDD">
        <w:rPr>
          <w:rFonts w:ascii="Arial" w:eastAsia="Times New Roman" w:hAnsi="Arial" w:cs="Arial"/>
          <w:color w:val="000000"/>
          <w:sz w:val="25"/>
          <w:szCs w:val="25"/>
          <w:lang w:eastAsia="es-CO"/>
        </w:rPr>
        <w:t>Corresponde a la suma de los establecimientos que tienen como producción característica un grupo homogéneo de productos.</w:t>
      </w:r>
    </w:p>
    <w:p w:rsidR="00294EDD" w:rsidRDefault="00294EDD" w:rsidP="00294EDD">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294EDD">
        <w:rPr>
          <w:rFonts w:ascii="Arial" w:eastAsia="Times New Roman" w:hAnsi="Arial" w:cs="Arial"/>
          <w:color w:val="000000"/>
          <w:sz w:val="25"/>
          <w:szCs w:val="25"/>
          <w:lang w:eastAsia="es-CO"/>
        </w:rPr>
        <w:t>Fuente: DANE. Glosario Cuentas Nacionales anuales. http://www.dane.gov.co/index.php/pib-cuentas-nacionales/cuentas-anuales/77-cuentas-nacionales/cuentas-anuales/2817-glosario-cuentas-nacionales-anuales. [Consulta: 04 de Junio de 2015].</w:t>
      </w:r>
    </w:p>
    <w:p w:rsidR="00294EDD" w:rsidRPr="00294EDD" w:rsidRDefault="00294EDD" w:rsidP="00294EDD">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p>
    <w:p w:rsidR="00294EDD" w:rsidRPr="00294EDD" w:rsidRDefault="00294EDD" w:rsidP="00294EDD">
      <w:pPr>
        <w:shd w:val="clear" w:color="auto" w:fill="F1F1F1"/>
        <w:spacing w:before="100" w:beforeAutospacing="1" w:after="100" w:afterAutospacing="1" w:line="240" w:lineRule="auto"/>
        <w:outlineLvl w:val="2"/>
        <w:rPr>
          <w:rFonts w:ascii="Arial" w:eastAsia="Times New Roman" w:hAnsi="Arial" w:cs="Arial"/>
          <w:b/>
          <w:bCs/>
          <w:color w:val="000000"/>
          <w:sz w:val="27"/>
          <w:szCs w:val="27"/>
          <w:lang w:eastAsia="es-CO"/>
        </w:rPr>
      </w:pPr>
      <w:r w:rsidRPr="00294EDD">
        <w:rPr>
          <w:rFonts w:ascii="Arial" w:eastAsia="Times New Roman" w:hAnsi="Arial" w:cs="Arial"/>
          <w:b/>
          <w:bCs/>
          <w:color w:val="000000"/>
          <w:sz w:val="27"/>
          <w:szCs w:val="27"/>
          <w:lang w:eastAsia="es-CO"/>
        </w:rPr>
        <w:lastRenderedPageBreak/>
        <w:t>Consumo intermedio</w:t>
      </w:r>
    </w:p>
    <w:p w:rsidR="00294EDD" w:rsidRPr="00294EDD" w:rsidRDefault="00294EDD" w:rsidP="00294EDD">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294EDD">
        <w:rPr>
          <w:rFonts w:ascii="Arial" w:eastAsia="Times New Roman" w:hAnsi="Arial" w:cs="Arial"/>
          <w:color w:val="000000"/>
          <w:sz w:val="25"/>
          <w:szCs w:val="25"/>
          <w:lang w:eastAsia="es-CO"/>
        </w:rPr>
        <w:t>Está representado por el valor de los bienes (excepto los bienes de capital fijo) y servicios mercantiles consumidos por las unidades productivas durante el período contable considerado en el proceso corriente de producción.</w:t>
      </w:r>
    </w:p>
    <w:p w:rsidR="00294EDD" w:rsidRPr="00294EDD" w:rsidRDefault="00294EDD" w:rsidP="00294EDD">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294EDD">
        <w:rPr>
          <w:rFonts w:ascii="Arial" w:eastAsia="Times New Roman" w:hAnsi="Arial" w:cs="Arial"/>
          <w:color w:val="000000"/>
          <w:sz w:val="25"/>
          <w:szCs w:val="25"/>
          <w:lang w:eastAsia="es-CO"/>
        </w:rPr>
        <w:t>Fuente: DANE. Ficha metodológica cuentas nacionales anuales. http://www.dane.gov.co/files/investigaciones/fichas/pib/ficha_ctas_anuales.pdf. [Consulta: 04 de Junio de 2015].</w:t>
      </w:r>
    </w:p>
    <w:p w:rsidR="00294EDD" w:rsidRPr="00294EDD" w:rsidRDefault="00294EDD" w:rsidP="00294EDD">
      <w:pPr>
        <w:shd w:val="clear" w:color="auto" w:fill="F1F1F1"/>
        <w:spacing w:before="100" w:beforeAutospacing="1" w:after="100" w:afterAutospacing="1" w:line="240" w:lineRule="auto"/>
        <w:outlineLvl w:val="2"/>
        <w:rPr>
          <w:rFonts w:ascii="Arial" w:eastAsia="Times New Roman" w:hAnsi="Arial" w:cs="Arial"/>
          <w:b/>
          <w:bCs/>
          <w:color w:val="000000"/>
          <w:sz w:val="27"/>
          <w:szCs w:val="27"/>
          <w:lang w:eastAsia="es-CO"/>
        </w:rPr>
      </w:pPr>
      <w:r w:rsidRPr="00294EDD">
        <w:rPr>
          <w:rFonts w:ascii="Arial" w:eastAsia="Times New Roman" w:hAnsi="Arial" w:cs="Arial"/>
          <w:b/>
          <w:bCs/>
          <w:color w:val="000000"/>
          <w:sz w:val="27"/>
          <w:szCs w:val="27"/>
          <w:lang w:eastAsia="es-CO"/>
        </w:rPr>
        <w:t>Consumo final</w:t>
      </w:r>
    </w:p>
    <w:p w:rsidR="00294EDD" w:rsidRPr="00294EDD" w:rsidRDefault="00294EDD" w:rsidP="00294EDD">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294EDD">
        <w:rPr>
          <w:rFonts w:ascii="Arial" w:eastAsia="Times New Roman" w:hAnsi="Arial" w:cs="Arial"/>
          <w:color w:val="000000"/>
          <w:sz w:val="25"/>
          <w:szCs w:val="25"/>
          <w:lang w:eastAsia="es-CO"/>
        </w:rPr>
        <w:t>Valor de los bienes y servicios utilizados para la satisfacción directa de las necesidades humanas individuales (consumo final de las familias) o colectivas (consumo final de las administraciones públicas e instituciones privadas sin fines de lucro que sirven a los hogares).</w:t>
      </w:r>
    </w:p>
    <w:p w:rsidR="00294EDD" w:rsidRPr="00294EDD" w:rsidRDefault="00294EDD" w:rsidP="00294EDD">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294EDD">
        <w:rPr>
          <w:rFonts w:ascii="Arial" w:eastAsia="Times New Roman" w:hAnsi="Arial" w:cs="Arial"/>
          <w:color w:val="000000"/>
          <w:sz w:val="25"/>
          <w:szCs w:val="25"/>
          <w:lang w:eastAsia="es-CO"/>
        </w:rPr>
        <w:t>Fuente: DANE. Ficha metodológica cuentas nacionales anuales. http://www.dane.gov.co/files/investigaciones/fichas/pib/ficha_ctas_anuales.pdf. [Consulta: 04 de Junio de 2015].</w:t>
      </w:r>
    </w:p>
    <w:p w:rsidR="00294EDD" w:rsidRPr="00294EDD" w:rsidRDefault="00294EDD" w:rsidP="00294EDD">
      <w:pPr>
        <w:shd w:val="clear" w:color="auto" w:fill="F1F1F1"/>
        <w:spacing w:before="100" w:beforeAutospacing="1" w:after="100" w:afterAutospacing="1" w:line="240" w:lineRule="auto"/>
        <w:outlineLvl w:val="2"/>
        <w:rPr>
          <w:rFonts w:ascii="Arial" w:eastAsia="Times New Roman" w:hAnsi="Arial" w:cs="Arial"/>
          <w:b/>
          <w:bCs/>
          <w:color w:val="000000"/>
          <w:sz w:val="27"/>
          <w:szCs w:val="27"/>
          <w:lang w:eastAsia="es-CO"/>
        </w:rPr>
      </w:pPr>
      <w:r w:rsidRPr="00294EDD">
        <w:rPr>
          <w:rFonts w:ascii="Arial" w:eastAsia="Times New Roman" w:hAnsi="Arial" w:cs="Arial"/>
          <w:b/>
          <w:bCs/>
          <w:color w:val="000000"/>
          <w:sz w:val="27"/>
          <w:szCs w:val="27"/>
          <w:lang w:eastAsia="es-CO"/>
        </w:rPr>
        <w:t>Exportaciones</w:t>
      </w:r>
    </w:p>
    <w:p w:rsidR="00294EDD" w:rsidRPr="00294EDD" w:rsidRDefault="00294EDD" w:rsidP="00294EDD">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294EDD">
        <w:rPr>
          <w:rFonts w:ascii="Arial" w:eastAsia="Times New Roman" w:hAnsi="Arial" w:cs="Arial"/>
          <w:color w:val="000000"/>
          <w:sz w:val="25"/>
          <w:szCs w:val="25"/>
          <w:lang w:eastAsia="es-CO"/>
        </w:rPr>
        <w:t>Salida legal de mercancías de un territorio aduanero hacia una zona franca industrial o a otro país, y que produce como contrapartida un ingreso de divisas.</w:t>
      </w:r>
    </w:p>
    <w:p w:rsidR="00294EDD" w:rsidRPr="00294EDD" w:rsidRDefault="00294EDD" w:rsidP="00294EDD">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294EDD">
        <w:rPr>
          <w:rFonts w:ascii="Arial" w:eastAsia="Times New Roman" w:hAnsi="Arial" w:cs="Arial"/>
          <w:color w:val="000000"/>
          <w:sz w:val="25"/>
          <w:szCs w:val="25"/>
          <w:lang w:eastAsia="es-CO"/>
        </w:rPr>
        <w:t>Las exportaciones son los bienes y servicios que se producen en el país y que se venden y envían a clientes de otros países.</w:t>
      </w:r>
    </w:p>
    <w:p w:rsidR="00294EDD" w:rsidRDefault="00294EDD" w:rsidP="00294EDD">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294EDD">
        <w:rPr>
          <w:rFonts w:ascii="Arial" w:eastAsia="Times New Roman" w:hAnsi="Arial" w:cs="Arial"/>
          <w:color w:val="000000"/>
          <w:sz w:val="25"/>
          <w:szCs w:val="25"/>
          <w:lang w:eastAsia="es-CO"/>
        </w:rPr>
        <w:t>Fuente: DANE. Glosario de términos comercio exterior. http://www.dane.gov.co/files/investigaciones/comercio_exterior/exportaciones/glosario.pdf. [Consulta: 04 de Junio de 2015].</w:t>
      </w:r>
    </w:p>
    <w:p w:rsidR="00294EDD" w:rsidRPr="00294EDD" w:rsidRDefault="00294EDD" w:rsidP="00294EDD">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bookmarkStart w:id="1" w:name="_GoBack"/>
      <w:bookmarkEnd w:id="1"/>
    </w:p>
    <w:p w:rsidR="00294EDD" w:rsidRPr="00294EDD" w:rsidRDefault="00294EDD" w:rsidP="00294EDD">
      <w:pPr>
        <w:shd w:val="clear" w:color="auto" w:fill="F1F1F1"/>
        <w:spacing w:before="100" w:beforeAutospacing="1" w:after="100" w:afterAutospacing="1" w:line="240" w:lineRule="auto"/>
        <w:outlineLvl w:val="2"/>
        <w:rPr>
          <w:rFonts w:ascii="Arial" w:eastAsia="Times New Roman" w:hAnsi="Arial" w:cs="Arial"/>
          <w:b/>
          <w:bCs/>
          <w:color w:val="000000"/>
          <w:sz w:val="27"/>
          <w:szCs w:val="27"/>
          <w:lang w:eastAsia="es-CO"/>
        </w:rPr>
      </w:pPr>
      <w:r w:rsidRPr="00294EDD">
        <w:rPr>
          <w:rFonts w:ascii="Arial" w:eastAsia="Times New Roman" w:hAnsi="Arial" w:cs="Arial"/>
          <w:b/>
          <w:bCs/>
          <w:color w:val="000000"/>
          <w:sz w:val="27"/>
          <w:szCs w:val="27"/>
          <w:lang w:eastAsia="es-CO"/>
        </w:rPr>
        <w:lastRenderedPageBreak/>
        <w:t>Importaciones</w:t>
      </w:r>
    </w:p>
    <w:p w:rsidR="00294EDD" w:rsidRPr="00294EDD" w:rsidRDefault="00294EDD" w:rsidP="00294EDD">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294EDD">
        <w:rPr>
          <w:rFonts w:ascii="Arial" w:eastAsia="Times New Roman" w:hAnsi="Arial" w:cs="Arial"/>
          <w:color w:val="000000"/>
          <w:sz w:val="25"/>
          <w:szCs w:val="25"/>
          <w:lang w:eastAsia="es-CO"/>
        </w:rPr>
        <w:t>Ingreso de mercancías de procedencia extranjera al territorio aduanero nacional. También se considera importación el ingreso de mercancías procedentes de zona franca industrial de bienes y servicios al resto del territorio aduanero nacional. Las importaciones se refieren a los gastos que las personas, las empresas o el gobierno de un país hacen en bienes y servicios que se producen en otros países y que se traen desde esos otros países; es decir, la cantidad de bienes y servicios que son producidos en el exterior y que ingresan al país por parte de las personas, las empresas o el gobierno.</w:t>
      </w:r>
    </w:p>
    <w:p w:rsidR="00294EDD" w:rsidRPr="00294EDD" w:rsidRDefault="00294EDD" w:rsidP="00294EDD">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294EDD">
        <w:rPr>
          <w:rFonts w:ascii="Arial" w:eastAsia="Times New Roman" w:hAnsi="Arial" w:cs="Arial"/>
          <w:color w:val="000000"/>
          <w:sz w:val="25"/>
          <w:szCs w:val="25"/>
          <w:lang w:eastAsia="es-CO"/>
        </w:rPr>
        <w:t>Fuente: DANE. Glosario de términos comercio exterior. http://www.dane.gov.co/files/investigaciones/comercio_exterior/exportaciones/glosario.pdf. [Consulta: 04 de Junio de 2015].</w:t>
      </w:r>
    </w:p>
    <w:p w:rsidR="00294EDD" w:rsidRPr="00294EDD" w:rsidRDefault="00294EDD" w:rsidP="00294EDD">
      <w:pPr>
        <w:shd w:val="clear" w:color="auto" w:fill="F1F1F1"/>
        <w:spacing w:before="100" w:beforeAutospacing="1" w:after="100" w:afterAutospacing="1" w:line="240" w:lineRule="auto"/>
        <w:outlineLvl w:val="2"/>
        <w:rPr>
          <w:rFonts w:ascii="Arial" w:eastAsia="Times New Roman" w:hAnsi="Arial" w:cs="Arial"/>
          <w:b/>
          <w:bCs/>
          <w:color w:val="000000"/>
          <w:sz w:val="27"/>
          <w:szCs w:val="27"/>
          <w:lang w:eastAsia="es-CO"/>
        </w:rPr>
      </w:pPr>
      <w:r w:rsidRPr="00294EDD">
        <w:rPr>
          <w:rFonts w:ascii="Arial" w:eastAsia="Times New Roman" w:hAnsi="Arial" w:cs="Arial"/>
          <w:b/>
          <w:bCs/>
          <w:color w:val="000000"/>
          <w:sz w:val="27"/>
          <w:szCs w:val="27"/>
          <w:lang w:eastAsia="es-CO"/>
        </w:rPr>
        <w:t xml:space="preserve">Valor FOB (Free </w:t>
      </w:r>
      <w:proofErr w:type="spellStart"/>
      <w:r w:rsidRPr="00294EDD">
        <w:rPr>
          <w:rFonts w:ascii="Arial" w:eastAsia="Times New Roman" w:hAnsi="Arial" w:cs="Arial"/>
          <w:b/>
          <w:bCs/>
          <w:color w:val="000000"/>
          <w:sz w:val="27"/>
          <w:szCs w:val="27"/>
          <w:lang w:eastAsia="es-CO"/>
        </w:rPr>
        <w:t>on</w:t>
      </w:r>
      <w:proofErr w:type="spellEnd"/>
      <w:r w:rsidRPr="00294EDD">
        <w:rPr>
          <w:rFonts w:ascii="Arial" w:eastAsia="Times New Roman" w:hAnsi="Arial" w:cs="Arial"/>
          <w:b/>
          <w:bCs/>
          <w:color w:val="000000"/>
          <w:sz w:val="27"/>
          <w:szCs w:val="27"/>
          <w:lang w:eastAsia="es-CO"/>
        </w:rPr>
        <w:t xml:space="preserve"> </w:t>
      </w:r>
      <w:proofErr w:type="spellStart"/>
      <w:r w:rsidRPr="00294EDD">
        <w:rPr>
          <w:rFonts w:ascii="Arial" w:eastAsia="Times New Roman" w:hAnsi="Arial" w:cs="Arial"/>
          <w:b/>
          <w:bCs/>
          <w:color w:val="000000"/>
          <w:sz w:val="27"/>
          <w:szCs w:val="27"/>
          <w:lang w:eastAsia="es-CO"/>
        </w:rPr>
        <w:t>board</w:t>
      </w:r>
      <w:proofErr w:type="spellEnd"/>
      <w:r w:rsidRPr="00294EDD">
        <w:rPr>
          <w:rFonts w:ascii="Arial" w:eastAsia="Times New Roman" w:hAnsi="Arial" w:cs="Arial"/>
          <w:b/>
          <w:bCs/>
          <w:color w:val="000000"/>
          <w:sz w:val="27"/>
          <w:szCs w:val="27"/>
          <w:lang w:eastAsia="es-CO"/>
        </w:rPr>
        <w:t>):</w:t>
      </w:r>
    </w:p>
    <w:p w:rsidR="00294EDD" w:rsidRPr="00294EDD" w:rsidRDefault="00294EDD" w:rsidP="00294EDD">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294EDD">
        <w:rPr>
          <w:rFonts w:ascii="Arial" w:eastAsia="Times New Roman" w:hAnsi="Arial" w:cs="Arial"/>
          <w:color w:val="000000"/>
          <w:sz w:val="25"/>
          <w:szCs w:val="25"/>
          <w:lang w:eastAsia="es-CO"/>
        </w:rPr>
        <w:t>Término de comercialización internacional que indica el precio de la mercancía a bordo de la nave o aeronave. Esto no incluye fletes, seguros y otros gastos de manipulación después de embarcada la mercancía. Significa que los gastos y riesgo del vendedor terminan una vez puestas las mercancías a bordo del barco. Mientras tanto, aunque los bienes hayan sido entregados al transportador, el vendedor sigue asumiendo el riesgo.</w:t>
      </w:r>
    </w:p>
    <w:p w:rsidR="00294EDD" w:rsidRPr="00294EDD" w:rsidRDefault="00294EDD" w:rsidP="00294EDD">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294EDD">
        <w:rPr>
          <w:rFonts w:ascii="Arial" w:eastAsia="Times New Roman" w:hAnsi="Arial" w:cs="Arial"/>
          <w:color w:val="000000"/>
          <w:sz w:val="25"/>
          <w:szCs w:val="25"/>
          <w:lang w:eastAsia="es-CO"/>
        </w:rPr>
        <w:t>Fuente: DANE. Glosario de términos comercio exterior. http://www.dane.gov.co/files/investigaciones/comercio_exterior/exportaciones/glosario.pdf. [Consulta: 04 de Junio de 2015].</w:t>
      </w:r>
    </w:p>
    <w:p w:rsidR="00294EDD" w:rsidRPr="00294EDD" w:rsidRDefault="00294EDD" w:rsidP="00294EDD">
      <w:pPr>
        <w:shd w:val="clear" w:color="auto" w:fill="F1F1F1"/>
        <w:spacing w:before="100" w:beforeAutospacing="1" w:after="100" w:afterAutospacing="1" w:line="240" w:lineRule="auto"/>
        <w:outlineLvl w:val="2"/>
        <w:rPr>
          <w:rFonts w:ascii="Arial" w:eastAsia="Times New Roman" w:hAnsi="Arial" w:cs="Arial"/>
          <w:b/>
          <w:bCs/>
          <w:color w:val="000000"/>
          <w:sz w:val="27"/>
          <w:szCs w:val="27"/>
          <w:lang w:eastAsia="es-CO"/>
        </w:rPr>
      </w:pPr>
      <w:r w:rsidRPr="00294EDD">
        <w:rPr>
          <w:rFonts w:ascii="Arial" w:eastAsia="Times New Roman" w:hAnsi="Arial" w:cs="Arial"/>
          <w:b/>
          <w:bCs/>
          <w:color w:val="000000"/>
          <w:sz w:val="27"/>
          <w:szCs w:val="27"/>
          <w:lang w:eastAsia="es-CO"/>
        </w:rPr>
        <w:t>Valor CIF (</w:t>
      </w:r>
      <w:proofErr w:type="spellStart"/>
      <w:r w:rsidRPr="00294EDD">
        <w:rPr>
          <w:rFonts w:ascii="Arial" w:eastAsia="Times New Roman" w:hAnsi="Arial" w:cs="Arial"/>
          <w:b/>
          <w:bCs/>
          <w:color w:val="000000"/>
          <w:sz w:val="27"/>
          <w:szCs w:val="27"/>
          <w:lang w:eastAsia="es-CO"/>
        </w:rPr>
        <w:t>Cost</w:t>
      </w:r>
      <w:proofErr w:type="spellEnd"/>
      <w:r w:rsidRPr="00294EDD">
        <w:rPr>
          <w:rFonts w:ascii="Arial" w:eastAsia="Times New Roman" w:hAnsi="Arial" w:cs="Arial"/>
          <w:b/>
          <w:bCs/>
          <w:color w:val="000000"/>
          <w:sz w:val="27"/>
          <w:szCs w:val="27"/>
          <w:lang w:eastAsia="es-CO"/>
        </w:rPr>
        <w:t xml:space="preserve">, </w:t>
      </w:r>
      <w:proofErr w:type="spellStart"/>
      <w:r w:rsidRPr="00294EDD">
        <w:rPr>
          <w:rFonts w:ascii="Arial" w:eastAsia="Times New Roman" w:hAnsi="Arial" w:cs="Arial"/>
          <w:b/>
          <w:bCs/>
          <w:color w:val="000000"/>
          <w:sz w:val="27"/>
          <w:szCs w:val="27"/>
          <w:lang w:eastAsia="es-CO"/>
        </w:rPr>
        <w:t>Insurance</w:t>
      </w:r>
      <w:proofErr w:type="spellEnd"/>
      <w:r w:rsidRPr="00294EDD">
        <w:rPr>
          <w:rFonts w:ascii="Arial" w:eastAsia="Times New Roman" w:hAnsi="Arial" w:cs="Arial"/>
          <w:b/>
          <w:bCs/>
          <w:color w:val="000000"/>
          <w:sz w:val="27"/>
          <w:szCs w:val="27"/>
          <w:lang w:eastAsia="es-CO"/>
        </w:rPr>
        <w:t xml:space="preserve"> and </w:t>
      </w:r>
      <w:proofErr w:type="spellStart"/>
      <w:r w:rsidRPr="00294EDD">
        <w:rPr>
          <w:rFonts w:ascii="Arial" w:eastAsia="Times New Roman" w:hAnsi="Arial" w:cs="Arial"/>
          <w:b/>
          <w:bCs/>
          <w:color w:val="000000"/>
          <w:sz w:val="27"/>
          <w:szCs w:val="27"/>
          <w:lang w:eastAsia="es-CO"/>
        </w:rPr>
        <w:t>Freight</w:t>
      </w:r>
      <w:proofErr w:type="spellEnd"/>
      <w:r w:rsidRPr="00294EDD">
        <w:rPr>
          <w:rFonts w:ascii="Arial" w:eastAsia="Times New Roman" w:hAnsi="Arial" w:cs="Arial"/>
          <w:b/>
          <w:bCs/>
          <w:color w:val="000000"/>
          <w:sz w:val="27"/>
          <w:szCs w:val="27"/>
          <w:lang w:eastAsia="es-CO"/>
        </w:rPr>
        <w:t>):</w:t>
      </w:r>
    </w:p>
    <w:p w:rsidR="00294EDD" w:rsidRPr="00294EDD" w:rsidRDefault="00294EDD" w:rsidP="00294EDD">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294EDD">
        <w:rPr>
          <w:rFonts w:ascii="Arial" w:eastAsia="Times New Roman" w:hAnsi="Arial" w:cs="Arial"/>
          <w:color w:val="000000"/>
          <w:sz w:val="25"/>
          <w:szCs w:val="25"/>
          <w:lang w:eastAsia="es-CO"/>
        </w:rPr>
        <w:t xml:space="preserve">Término de comercialización internacional que indica el precio de la mercancía incluyendo el costo, seguro y fletes. Esto significa que, el exportador será </w:t>
      </w:r>
      <w:r w:rsidRPr="00294EDD">
        <w:rPr>
          <w:rFonts w:ascii="Arial" w:eastAsia="Times New Roman" w:hAnsi="Arial" w:cs="Arial"/>
          <w:color w:val="000000"/>
          <w:sz w:val="25"/>
          <w:szCs w:val="25"/>
          <w:lang w:eastAsia="es-CO"/>
        </w:rPr>
        <w:lastRenderedPageBreak/>
        <w:t>responsable de entregar la mercancía objeto del contrato en el puerto de destino, corriendo con los gastos del seguro de transporte.</w:t>
      </w:r>
    </w:p>
    <w:p w:rsidR="00294EDD" w:rsidRPr="00294EDD" w:rsidRDefault="00294EDD" w:rsidP="00294EDD">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294EDD">
        <w:rPr>
          <w:rFonts w:ascii="Arial" w:eastAsia="Times New Roman" w:hAnsi="Arial" w:cs="Arial"/>
          <w:color w:val="000000"/>
          <w:sz w:val="25"/>
          <w:szCs w:val="25"/>
          <w:lang w:eastAsia="es-CO"/>
        </w:rPr>
        <w:t>Fuente: DANE. Glosario de términos comercio exterior. http://www.dane.gov.co/files/investigaciones/comercio_exterior/exportaciones/glosario.pdf. [Consulta: 04 de Junio de 2015].</w:t>
      </w:r>
    </w:p>
    <w:p w:rsidR="004A1762" w:rsidRPr="00294EDD" w:rsidRDefault="004A1762" w:rsidP="00294EDD"/>
    <w:sectPr w:rsidR="004A1762" w:rsidRPr="00294EDD" w:rsidSect="006B5390">
      <w:headerReference w:type="default" r:id="rId7"/>
      <w:pgSz w:w="12240" w:h="15840"/>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08C7" w:rsidRDefault="007D08C7" w:rsidP="006B5390">
      <w:pPr>
        <w:spacing w:after="0" w:line="240" w:lineRule="auto"/>
      </w:pPr>
      <w:r>
        <w:separator/>
      </w:r>
    </w:p>
  </w:endnote>
  <w:endnote w:type="continuationSeparator" w:id="0">
    <w:p w:rsidR="007D08C7" w:rsidRDefault="007D08C7" w:rsidP="006B5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08C7" w:rsidRDefault="007D08C7" w:rsidP="006B5390">
      <w:pPr>
        <w:spacing w:after="0" w:line="240" w:lineRule="auto"/>
      </w:pPr>
      <w:r>
        <w:separator/>
      </w:r>
    </w:p>
  </w:footnote>
  <w:footnote w:type="continuationSeparator" w:id="0">
    <w:p w:rsidR="007D08C7" w:rsidRDefault="007D08C7" w:rsidP="006B53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390" w:rsidRPr="006B5390" w:rsidRDefault="006B5390" w:rsidP="006B5390">
    <w:pPr>
      <w:pStyle w:val="Encabezado"/>
    </w:pPr>
    <w:r>
      <w:rPr>
        <w:noProof/>
        <w:lang w:eastAsia="es-CO"/>
      </w:rPr>
      <w:drawing>
        <wp:anchor distT="0" distB="0" distL="114300" distR="114300" simplePos="0" relativeHeight="251658240" behindDoc="1" locked="0" layoutInCell="1" allowOverlap="1">
          <wp:simplePos x="0" y="0"/>
          <wp:positionH relativeFrom="page">
            <wp:posOffset>9525</wp:posOffset>
          </wp:positionH>
          <wp:positionV relativeFrom="paragraph">
            <wp:posOffset>-449580</wp:posOffset>
          </wp:positionV>
          <wp:extent cx="7884358" cy="914400"/>
          <wp:effectExtent l="0" t="0" r="254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84358" cy="914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26E26"/>
    <w:multiLevelType w:val="multilevel"/>
    <w:tmpl w:val="E39C9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B56F1B"/>
    <w:multiLevelType w:val="multilevel"/>
    <w:tmpl w:val="5D5C3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FD12AA"/>
    <w:multiLevelType w:val="multilevel"/>
    <w:tmpl w:val="79B46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A54074"/>
    <w:multiLevelType w:val="multilevel"/>
    <w:tmpl w:val="AF086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A20FA8"/>
    <w:multiLevelType w:val="multilevel"/>
    <w:tmpl w:val="97ECB6E8"/>
    <w:lvl w:ilvl="0">
      <w:start w:val="1"/>
      <w:numFmt w:val="bullet"/>
      <w:lvlText w:val=""/>
      <w:lvlJc w:val="left"/>
      <w:pPr>
        <w:tabs>
          <w:tab w:val="num" w:pos="216"/>
        </w:tabs>
        <w:ind w:left="216" w:hanging="360"/>
      </w:pPr>
      <w:rPr>
        <w:rFonts w:ascii="Symbol" w:hAnsi="Symbol" w:hint="default"/>
        <w:sz w:val="20"/>
      </w:rPr>
    </w:lvl>
    <w:lvl w:ilvl="1" w:tentative="1">
      <w:start w:val="1"/>
      <w:numFmt w:val="bullet"/>
      <w:lvlText w:val="o"/>
      <w:lvlJc w:val="left"/>
      <w:pPr>
        <w:tabs>
          <w:tab w:val="num" w:pos="936"/>
        </w:tabs>
        <w:ind w:left="936" w:hanging="360"/>
      </w:pPr>
      <w:rPr>
        <w:rFonts w:ascii="Courier New" w:hAnsi="Courier New" w:hint="default"/>
        <w:sz w:val="20"/>
      </w:rPr>
    </w:lvl>
    <w:lvl w:ilvl="2" w:tentative="1">
      <w:start w:val="1"/>
      <w:numFmt w:val="bullet"/>
      <w:lvlText w:val=""/>
      <w:lvlJc w:val="left"/>
      <w:pPr>
        <w:tabs>
          <w:tab w:val="num" w:pos="1656"/>
        </w:tabs>
        <w:ind w:left="1656" w:hanging="360"/>
      </w:pPr>
      <w:rPr>
        <w:rFonts w:ascii="Wingdings" w:hAnsi="Wingdings" w:hint="default"/>
        <w:sz w:val="20"/>
      </w:rPr>
    </w:lvl>
    <w:lvl w:ilvl="3" w:tentative="1">
      <w:start w:val="1"/>
      <w:numFmt w:val="bullet"/>
      <w:lvlText w:val=""/>
      <w:lvlJc w:val="left"/>
      <w:pPr>
        <w:tabs>
          <w:tab w:val="num" w:pos="2376"/>
        </w:tabs>
        <w:ind w:left="2376" w:hanging="360"/>
      </w:pPr>
      <w:rPr>
        <w:rFonts w:ascii="Wingdings" w:hAnsi="Wingdings" w:hint="default"/>
        <w:sz w:val="20"/>
      </w:rPr>
    </w:lvl>
    <w:lvl w:ilvl="4" w:tentative="1">
      <w:start w:val="1"/>
      <w:numFmt w:val="bullet"/>
      <w:lvlText w:val=""/>
      <w:lvlJc w:val="left"/>
      <w:pPr>
        <w:tabs>
          <w:tab w:val="num" w:pos="3096"/>
        </w:tabs>
        <w:ind w:left="3096" w:hanging="360"/>
      </w:pPr>
      <w:rPr>
        <w:rFonts w:ascii="Wingdings" w:hAnsi="Wingdings" w:hint="default"/>
        <w:sz w:val="20"/>
      </w:rPr>
    </w:lvl>
    <w:lvl w:ilvl="5" w:tentative="1">
      <w:start w:val="1"/>
      <w:numFmt w:val="bullet"/>
      <w:lvlText w:val=""/>
      <w:lvlJc w:val="left"/>
      <w:pPr>
        <w:tabs>
          <w:tab w:val="num" w:pos="3816"/>
        </w:tabs>
        <w:ind w:left="3816" w:hanging="360"/>
      </w:pPr>
      <w:rPr>
        <w:rFonts w:ascii="Wingdings" w:hAnsi="Wingdings" w:hint="default"/>
        <w:sz w:val="20"/>
      </w:rPr>
    </w:lvl>
    <w:lvl w:ilvl="6" w:tentative="1">
      <w:start w:val="1"/>
      <w:numFmt w:val="bullet"/>
      <w:lvlText w:val=""/>
      <w:lvlJc w:val="left"/>
      <w:pPr>
        <w:tabs>
          <w:tab w:val="num" w:pos="4536"/>
        </w:tabs>
        <w:ind w:left="4536" w:hanging="360"/>
      </w:pPr>
      <w:rPr>
        <w:rFonts w:ascii="Wingdings" w:hAnsi="Wingdings" w:hint="default"/>
        <w:sz w:val="20"/>
      </w:rPr>
    </w:lvl>
    <w:lvl w:ilvl="7" w:tentative="1">
      <w:start w:val="1"/>
      <w:numFmt w:val="bullet"/>
      <w:lvlText w:val=""/>
      <w:lvlJc w:val="left"/>
      <w:pPr>
        <w:tabs>
          <w:tab w:val="num" w:pos="5256"/>
        </w:tabs>
        <w:ind w:left="5256" w:hanging="360"/>
      </w:pPr>
      <w:rPr>
        <w:rFonts w:ascii="Wingdings" w:hAnsi="Wingdings" w:hint="default"/>
        <w:sz w:val="20"/>
      </w:rPr>
    </w:lvl>
    <w:lvl w:ilvl="8" w:tentative="1">
      <w:start w:val="1"/>
      <w:numFmt w:val="bullet"/>
      <w:lvlText w:val=""/>
      <w:lvlJc w:val="left"/>
      <w:pPr>
        <w:tabs>
          <w:tab w:val="num" w:pos="5976"/>
        </w:tabs>
        <w:ind w:left="5976" w:hanging="360"/>
      </w:pPr>
      <w:rPr>
        <w:rFonts w:ascii="Wingdings" w:hAnsi="Wingdings" w:hint="default"/>
        <w:sz w:val="20"/>
      </w:rPr>
    </w:lvl>
  </w:abstractNum>
  <w:abstractNum w:abstractNumId="5">
    <w:nsid w:val="6FF14EE6"/>
    <w:multiLevelType w:val="hybridMultilevel"/>
    <w:tmpl w:val="3ECA5D9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hdrShapeDefaults>
    <o:shapedefaults v:ext="edit" spidmax="2049">
      <o:colormru v:ext="edit" colors="gray,#f1f1f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390"/>
    <w:rsid w:val="000239E1"/>
    <w:rsid w:val="00035E78"/>
    <w:rsid w:val="00046841"/>
    <w:rsid w:val="00060EC9"/>
    <w:rsid w:val="00120490"/>
    <w:rsid w:val="00133B5A"/>
    <w:rsid w:val="00137B1E"/>
    <w:rsid w:val="0029496E"/>
    <w:rsid w:val="00294EDD"/>
    <w:rsid w:val="00493B1F"/>
    <w:rsid w:val="004A1762"/>
    <w:rsid w:val="004B6274"/>
    <w:rsid w:val="004F039A"/>
    <w:rsid w:val="005473AB"/>
    <w:rsid w:val="00651798"/>
    <w:rsid w:val="006B5390"/>
    <w:rsid w:val="007071FD"/>
    <w:rsid w:val="00741A64"/>
    <w:rsid w:val="007B142F"/>
    <w:rsid w:val="007D08C7"/>
    <w:rsid w:val="00925B43"/>
    <w:rsid w:val="00937FF8"/>
    <w:rsid w:val="009B6F2B"/>
    <w:rsid w:val="00B6496D"/>
    <w:rsid w:val="00C01C62"/>
    <w:rsid w:val="00C14EDB"/>
    <w:rsid w:val="00CB0852"/>
    <w:rsid w:val="00CF26D0"/>
    <w:rsid w:val="00DB5FA9"/>
    <w:rsid w:val="00F64379"/>
    <w:rsid w:val="00FB357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gray,#f1f1f1"/>
    </o:shapedefaults>
    <o:shapelayout v:ext="edit">
      <o:idmap v:ext="edit" data="1"/>
    </o:shapelayout>
  </w:shapeDefaults>
  <w:decimalSymbol w:val=","/>
  <w:listSeparator w:val=";"/>
  <w15:chartTrackingRefBased/>
  <w15:docId w15:val="{634F1458-FB22-413A-A907-E94BFBB49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CF26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2">
    <w:name w:val="heading 2"/>
    <w:basedOn w:val="Normal"/>
    <w:next w:val="Normal"/>
    <w:link w:val="Ttulo2Car"/>
    <w:uiPriority w:val="9"/>
    <w:semiHidden/>
    <w:unhideWhenUsed/>
    <w:qFormat/>
    <w:rsid w:val="00FB357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link w:val="Ttulo3Car"/>
    <w:uiPriority w:val="9"/>
    <w:qFormat/>
    <w:rsid w:val="00CF26D0"/>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paragraph" w:styleId="Ttulo4">
    <w:name w:val="heading 4"/>
    <w:basedOn w:val="Normal"/>
    <w:next w:val="Normal"/>
    <w:link w:val="Ttulo4Car"/>
    <w:uiPriority w:val="9"/>
    <w:semiHidden/>
    <w:unhideWhenUsed/>
    <w:qFormat/>
    <w:rsid w:val="009B6F2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B539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B5390"/>
  </w:style>
  <w:style w:type="paragraph" w:styleId="Piedepgina">
    <w:name w:val="footer"/>
    <w:basedOn w:val="Normal"/>
    <w:link w:val="PiedepginaCar"/>
    <w:uiPriority w:val="99"/>
    <w:unhideWhenUsed/>
    <w:rsid w:val="006B539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B5390"/>
  </w:style>
  <w:style w:type="character" w:customStyle="1" w:styleId="Ttulo1Car">
    <w:name w:val="Título 1 Car"/>
    <w:basedOn w:val="Fuentedeprrafopredeter"/>
    <w:link w:val="Ttulo1"/>
    <w:uiPriority w:val="9"/>
    <w:rsid w:val="00CF26D0"/>
    <w:rPr>
      <w:rFonts w:ascii="Times New Roman" w:eastAsia="Times New Roman" w:hAnsi="Times New Roman" w:cs="Times New Roman"/>
      <w:b/>
      <w:bCs/>
      <w:kern w:val="36"/>
      <w:sz w:val="48"/>
      <w:szCs w:val="48"/>
      <w:lang w:eastAsia="es-CO"/>
    </w:rPr>
  </w:style>
  <w:style w:type="character" w:customStyle="1" w:styleId="Ttulo3Car">
    <w:name w:val="Título 3 Car"/>
    <w:basedOn w:val="Fuentedeprrafopredeter"/>
    <w:link w:val="Ttulo3"/>
    <w:uiPriority w:val="9"/>
    <w:rsid w:val="00CF26D0"/>
    <w:rPr>
      <w:rFonts w:ascii="Times New Roman" w:eastAsia="Times New Roman" w:hAnsi="Times New Roman" w:cs="Times New Roman"/>
      <w:b/>
      <w:bCs/>
      <w:sz w:val="27"/>
      <w:szCs w:val="27"/>
      <w:lang w:eastAsia="es-CO"/>
    </w:rPr>
  </w:style>
  <w:style w:type="paragraph" w:styleId="NormalWeb">
    <w:name w:val="Normal (Web)"/>
    <w:basedOn w:val="Normal"/>
    <w:uiPriority w:val="99"/>
    <w:semiHidden/>
    <w:unhideWhenUsed/>
    <w:rsid w:val="00CF26D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CF26D0"/>
  </w:style>
  <w:style w:type="character" w:styleId="Hipervnculo">
    <w:name w:val="Hyperlink"/>
    <w:basedOn w:val="Fuentedeprrafopredeter"/>
    <w:uiPriority w:val="99"/>
    <w:unhideWhenUsed/>
    <w:rsid w:val="00CF26D0"/>
    <w:rPr>
      <w:color w:val="0000FF"/>
      <w:u w:val="single"/>
    </w:rPr>
  </w:style>
  <w:style w:type="character" w:customStyle="1" w:styleId="Ttulo2Car">
    <w:name w:val="Título 2 Car"/>
    <w:basedOn w:val="Fuentedeprrafopredeter"/>
    <w:link w:val="Ttulo2"/>
    <w:uiPriority w:val="9"/>
    <w:semiHidden/>
    <w:rsid w:val="00FB3573"/>
    <w:rPr>
      <w:rFonts w:asciiTheme="majorHAnsi" w:eastAsiaTheme="majorEastAsia" w:hAnsiTheme="majorHAnsi" w:cstheme="majorBidi"/>
      <w:color w:val="2E74B5" w:themeColor="accent1" w:themeShade="BF"/>
      <w:sz w:val="26"/>
      <w:szCs w:val="26"/>
    </w:rPr>
  </w:style>
  <w:style w:type="character" w:styleId="Textoennegrita">
    <w:name w:val="Strong"/>
    <w:basedOn w:val="Fuentedeprrafopredeter"/>
    <w:uiPriority w:val="22"/>
    <w:qFormat/>
    <w:rsid w:val="00F64379"/>
    <w:rPr>
      <w:b/>
      <w:bCs/>
    </w:rPr>
  </w:style>
  <w:style w:type="character" w:customStyle="1" w:styleId="Ttulo4Car">
    <w:name w:val="Título 4 Car"/>
    <w:basedOn w:val="Fuentedeprrafopredeter"/>
    <w:link w:val="Ttulo4"/>
    <w:uiPriority w:val="9"/>
    <w:semiHidden/>
    <w:rsid w:val="009B6F2B"/>
    <w:rPr>
      <w:rFonts w:asciiTheme="majorHAnsi" w:eastAsiaTheme="majorEastAsia" w:hAnsiTheme="majorHAnsi" w:cstheme="majorBidi"/>
      <w:i/>
      <w:iCs/>
      <w:color w:val="2E74B5" w:themeColor="accent1" w:themeShade="BF"/>
    </w:rPr>
  </w:style>
  <w:style w:type="paragraph" w:styleId="Prrafodelista">
    <w:name w:val="List Paragraph"/>
    <w:basedOn w:val="Normal"/>
    <w:uiPriority w:val="34"/>
    <w:qFormat/>
    <w:rsid w:val="00294E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13328">
      <w:bodyDiv w:val="1"/>
      <w:marLeft w:val="0"/>
      <w:marRight w:val="0"/>
      <w:marTop w:val="0"/>
      <w:marBottom w:val="0"/>
      <w:divBdr>
        <w:top w:val="none" w:sz="0" w:space="0" w:color="auto"/>
        <w:left w:val="none" w:sz="0" w:space="0" w:color="auto"/>
        <w:bottom w:val="none" w:sz="0" w:space="0" w:color="auto"/>
        <w:right w:val="none" w:sz="0" w:space="0" w:color="auto"/>
      </w:divBdr>
      <w:divsChild>
        <w:div w:id="745613031">
          <w:marLeft w:val="600"/>
          <w:marRight w:val="600"/>
          <w:marTop w:val="0"/>
          <w:marBottom w:val="0"/>
          <w:divBdr>
            <w:top w:val="none" w:sz="0" w:space="0" w:color="auto"/>
            <w:left w:val="none" w:sz="0" w:space="0" w:color="auto"/>
            <w:bottom w:val="none" w:sz="0" w:space="0" w:color="auto"/>
            <w:right w:val="none" w:sz="0" w:space="0" w:color="auto"/>
          </w:divBdr>
        </w:div>
      </w:divsChild>
    </w:div>
    <w:div w:id="516315922">
      <w:bodyDiv w:val="1"/>
      <w:marLeft w:val="0"/>
      <w:marRight w:val="0"/>
      <w:marTop w:val="0"/>
      <w:marBottom w:val="0"/>
      <w:divBdr>
        <w:top w:val="none" w:sz="0" w:space="0" w:color="auto"/>
        <w:left w:val="none" w:sz="0" w:space="0" w:color="auto"/>
        <w:bottom w:val="none" w:sz="0" w:space="0" w:color="auto"/>
        <w:right w:val="none" w:sz="0" w:space="0" w:color="auto"/>
      </w:divBdr>
      <w:divsChild>
        <w:div w:id="2111050764">
          <w:marLeft w:val="600"/>
          <w:marRight w:val="600"/>
          <w:marTop w:val="0"/>
          <w:marBottom w:val="0"/>
          <w:divBdr>
            <w:top w:val="none" w:sz="0" w:space="0" w:color="auto"/>
            <w:left w:val="none" w:sz="0" w:space="0" w:color="auto"/>
            <w:bottom w:val="none" w:sz="0" w:space="0" w:color="auto"/>
            <w:right w:val="none" w:sz="0" w:space="0" w:color="auto"/>
          </w:divBdr>
        </w:div>
      </w:divsChild>
    </w:div>
    <w:div w:id="591472484">
      <w:bodyDiv w:val="1"/>
      <w:marLeft w:val="0"/>
      <w:marRight w:val="0"/>
      <w:marTop w:val="0"/>
      <w:marBottom w:val="0"/>
      <w:divBdr>
        <w:top w:val="none" w:sz="0" w:space="0" w:color="auto"/>
        <w:left w:val="none" w:sz="0" w:space="0" w:color="auto"/>
        <w:bottom w:val="none" w:sz="0" w:space="0" w:color="auto"/>
        <w:right w:val="none" w:sz="0" w:space="0" w:color="auto"/>
      </w:divBdr>
      <w:divsChild>
        <w:div w:id="1733190023">
          <w:marLeft w:val="600"/>
          <w:marRight w:val="600"/>
          <w:marTop w:val="0"/>
          <w:marBottom w:val="0"/>
          <w:divBdr>
            <w:top w:val="none" w:sz="0" w:space="0" w:color="auto"/>
            <w:left w:val="none" w:sz="0" w:space="0" w:color="auto"/>
            <w:bottom w:val="none" w:sz="0" w:space="0" w:color="auto"/>
            <w:right w:val="none" w:sz="0" w:space="0" w:color="auto"/>
          </w:divBdr>
        </w:div>
      </w:divsChild>
    </w:div>
    <w:div w:id="637153258">
      <w:bodyDiv w:val="1"/>
      <w:marLeft w:val="0"/>
      <w:marRight w:val="0"/>
      <w:marTop w:val="0"/>
      <w:marBottom w:val="0"/>
      <w:divBdr>
        <w:top w:val="none" w:sz="0" w:space="0" w:color="auto"/>
        <w:left w:val="none" w:sz="0" w:space="0" w:color="auto"/>
        <w:bottom w:val="none" w:sz="0" w:space="0" w:color="auto"/>
        <w:right w:val="none" w:sz="0" w:space="0" w:color="auto"/>
      </w:divBdr>
      <w:divsChild>
        <w:div w:id="1906648197">
          <w:marLeft w:val="600"/>
          <w:marRight w:val="600"/>
          <w:marTop w:val="0"/>
          <w:marBottom w:val="0"/>
          <w:divBdr>
            <w:top w:val="none" w:sz="0" w:space="0" w:color="auto"/>
            <w:left w:val="none" w:sz="0" w:space="0" w:color="auto"/>
            <w:bottom w:val="none" w:sz="0" w:space="0" w:color="auto"/>
            <w:right w:val="none" w:sz="0" w:space="0" w:color="auto"/>
          </w:divBdr>
        </w:div>
      </w:divsChild>
    </w:div>
    <w:div w:id="853306211">
      <w:bodyDiv w:val="1"/>
      <w:marLeft w:val="0"/>
      <w:marRight w:val="0"/>
      <w:marTop w:val="0"/>
      <w:marBottom w:val="0"/>
      <w:divBdr>
        <w:top w:val="none" w:sz="0" w:space="0" w:color="auto"/>
        <w:left w:val="none" w:sz="0" w:space="0" w:color="auto"/>
        <w:bottom w:val="none" w:sz="0" w:space="0" w:color="auto"/>
        <w:right w:val="none" w:sz="0" w:space="0" w:color="auto"/>
      </w:divBdr>
      <w:divsChild>
        <w:div w:id="1773355674">
          <w:marLeft w:val="600"/>
          <w:marRight w:val="600"/>
          <w:marTop w:val="0"/>
          <w:marBottom w:val="0"/>
          <w:divBdr>
            <w:top w:val="none" w:sz="0" w:space="0" w:color="auto"/>
            <w:left w:val="none" w:sz="0" w:space="0" w:color="auto"/>
            <w:bottom w:val="none" w:sz="0" w:space="0" w:color="auto"/>
            <w:right w:val="none" w:sz="0" w:space="0" w:color="auto"/>
          </w:divBdr>
        </w:div>
      </w:divsChild>
    </w:div>
    <w:div w:id="997002363">
      <w:bodyDiv w:val="1"/>
      <w:marLeft w:val="0"/>
      <w:marRight w:val="0"/>
      <w:marTop w:val="0"/>
      <w:marBottom w:val="0"/>
      <w:divBdr>
        <w:top w:val="none" w:sz="0" w:space="0" w:color="auto"/>
        <w:left w:val="none" w:sz="0" w:space="0" w:color="auto"/>
        <w:bottom w:val="none" w:sz="0" w:space="0" w:color="auto"/>
        <w:right w:val="none" w:sz="0" w:space="0" w:color="auto"/>
      </w:divBdr>
      <w:divsChild>
        <w:div w:id="1163155964">
          <w:marLeft w:val="600"/>
          <w:marRight w:val="600"/>
          <w:marTop w:val="0"/>
          <w:marBottom w:val="0"/>
          <w:divBdr>
            <w:top w:val="none" w:sz="0" w:space="0" w:color="auto"/>
            <w:left w:val="none" w:sz="0" w:space="0" w:color="auto"/>
            <w:bottom w:val="none" w:sz="0" w:space="0" w:color="auto"/>
            <w:right w:val="none" w:sz="0" w:space="0" w:color="auto"/>
          </w:divBdr>
        </w:div>
      </w:divsChild>
    </w:div>
    <w:div w:id="1058014702">
      <w:bodyDiv w:val="1"/>
      <w:marLeft w:val="0"/>
      <w:marRight w:val="0"/>
      <w:marTop w:val="0"/>
      <w:marBottom w:val="0"/>
      <w:divBdr>
        <w:top w:val="none" w:sz="0" w:space="0" w:color="auto"/>
        <w:left w:val="none" w:sz="0" w:space="0" w:color="auto"/>
        <w:bottom w:val="none" w:sz="0" w:space="0" w:color="auto"/>
        <w:right w:val="none" w:sz="0" w:space="0" w:color="auto"/>
      </w:divBdr>
      <w:divsChild>
        <w:div w:id="1012222779">
          <w:marLeft w:val="600"/>
          <w:marRight w:val="600"/>
          <w:marTop w:val="0"/>
          <w:marBottom w:val="0"/>
          <w:divBdr>
            <w:top w:val="none" w:sz="0" w:space="0" w:color="auto"/>
            <w:left w:val="none" w:sz="0" w:space="0" w:color="auto"/>
            <w:bottom w:val="none" w:sz="0" w:space="0" w:color="auto"/>
            <w:right w:val="none" w:sz="0" w:space="0" w:color="auto"/>
          </w:divBdr>
          <w:divsChild>
            <w:div w:id="2088264085">
              <w:marLeft w:val="0"/>
              <w:marRight w:val="0"/>
              <w:marTop w:val="0"/>
              <w:marBottom w:val="0"/>
              <w:divBdr>
                <w:top w:val="none" w:sz="0" w:space="0" w:color="auto"/>
                <w:left w:val="none" w:sz="0" w:space="0" w:color="auto"/>
                <w:bottom w:val="none" w:sz="0" w:space="0" w:color="auto"/>
                <w:right w:val="none" w:sz="0" w:space="0" w:color="auto"/>
              </w:divBdr>
              <w:divsChild>
                <w:div w:id="1616864283">
                  <w:marLeft w:val="0"/>
                  <w:marRight w:val="0"/>
                  <w:marTop w:val="0"/>
                  <w:marBottom w:val="0"/>
                  <w:divBdr>
                    <w:top w:val="none" w:sz="0" w:space="0" w:color="auto"/>
                    <w:left w:val="none" w:sz="0" w:space="0" w:color="auto"/>
                    <w:bottom w:val="none" w:sz="0" w:space="0" w:color="auto"/>
                    <w:right w:val="none" w:sz="0" w:space="0" w:color="auto"/>
                  </w:divBdr>
                  <w:divsChild>
                    <w:div w:id="205605785">
                      <w:marLeft w:val="0"/>
                      <w:marRight w:val="0"/>
                      <w:marTop w:val="0"/>
                      <w:marBottom w:val="0"/>
                      <w:divBdr>
                        <w:top w:val="none" w:sz="0" w:space="0" w:color="auto"/>
                        <w:left w:val="none" w:sz="0" w:space="0" w:color="auto"/>
                        <w:bottom w:val="none" w:sz="0" w:space="0" w:color="auto"/>
                        <w:right w:val="none" w:sz="0" w:space="0" w:color="auto"/>
                      </w:divBdr>
                    </w:div>
                    <w:div w:id="928581575">
                      <w:marLeft w:val="0"/>
                      <w:marRight w:val="0"/>
                      <w:marTop w:val="0"/>
                      <w:marBottom w:val="0"/>
                      <w:divBdr>
                        <w:top w:val="none" w:sz="0" w:space="0" w:color="auto"/>
                        <w:left w:val="none" w:sz="0" w:space="0" w:color="auto"/>
                        <w:bottom w:val="none" w:sz="0" w:space="0" w:color="auto"/>
                        <w:right w:val="none" w:sz="0" w:space="0" w:color="auto"/>
                      </w:divBdr>
                      <w:divsChild>
                        <w:div w:id="82628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1288349">
      <w:bodyDiv w:val="1"/>
      <w:marLeft w:val="0"/>
      <w:marRight w:val="0"/>
      <w:marTop w:val="0"/>
      <w:marBottom w:val="0"/>
      <w:divBdr>
        <w:top w:val="none" w:sz="0" w:space="0" w:color="auto"/>
        <w:left w:val="none" w:sz="0" w:space="0" w:color="auto"/>
        <w:bottom w:val="none" w:sz="0" w:space="0" w:color="auto"/>
        <w:right w:val="none" w:sz="0" w:space="0" w:color="auto"/>
      </w:divBdr>
      <w:divsChild>
        <w:div w:id="284848641">
          <w:marLeft w:val="600"/>
          <w:marRight w:val="600"/>
          <w:marTop w:val="0"/>
          <w:marBottom w:val="0"/>
          <w:divBdr>
            <w:top w:val="none" w:sz="0" w:space="0" w:color="auto"/>
            <w:left w:val="none" w:sz="0" w:space="0" w:color="auto"/>
            <w:bottom w:val="none" w:sz="0" w:space="0" w:color="auto"/>
            <w:right w:val="none" w:sz="0" w:space="0" w:color="auto"/>
          </w:divBdr>
        </w:div>
      </w:divsChild>
    </w:div>
    <w:div w:id="1166477741">
      <w:bodyDiv w:val="1"/>
      <w:marLeft w:val="0"/>
      <w:marRight w:val="0"/>
      <w:marTop w:val="0"/>
      <w:marBottom w:val="0"/>
      <w:divBdr>
        <w:top w:val="none" w:sz="0" w:space="0" w:color="auto"/>
        <w:left w:val="none" w:sz="0" w:space="0" w:color="auto"/>
        <w:bottom w:val="none" w:sz="0" w:space="0" w:color="auto"/>
        <w:right w:val="none" w:sz="0" w:space="0" w:color="auto"/>
      </w:divBdr>
      <w:divsChild>
        <w:div w:id="217590532">
          <w:marLeft w:val="600"/>
          <w:marRight w:val="600"/>
          <w:marTop w:val="0"/>
          <w:marBottom w:val="0"/>
          <w:divBdr>
            <w:top w:val="none" w:sz="0" w:space="0" w:color="auto"/>
            <w:left w:val="none" w:sz="0" w:space="0" w:color="auto"/>
            <w:bottom w:val="none" w:sz="0" w:space="0" w:color="auto"/>
            <w:right w:val="none" w:sz="0" w:space="0" w:color="auto"/>
          </w:divBdr>
        </w:div>
      </w:divsChild>
    </w:div>
    <w:div w:id="1282834189">
      <w:bodyDiv w:val="1"/>
      <w:marLeft w:val="0"/>
      <w:marRight w:val="0"/>
      <w:marTop w:val="0"/>
      <w:marBottom w:val="0"/>
      <w:divBdr>
        <w:top w:val="none" w:sz="0" w:space="0" w:color="auto"/>
        <w:left w:val="none" w:sz="0" w:space="0" w:color="auto"/>
        <w:bottom w:val="none" w:sz="0" w:space="0" w:color="auto"/>
        <w:right w:val="none" w:sz="0" w:space="0" w:color="auto"/>
      </w:divBdr>
      <w:divsChild>
        <w:div w:id="1755780236">
          <w:marLeft w:val="600"/>
          <w:marRight w:val="600"/>
          <w:marTop w:val="0"/>
          <w:marBottom w:val="0"/>
          <w:divBdr>
            <w:top w:val="none" w:sz="0" w:space="0" w:color="auto"/>
            <w:left w:val="none" w:sz="0" w:space="0" w:color="auto"/>
            <w:bottom w:val="none" w:sz="0" w:space="0" w:color="auto"/>
            <w:right w:val="none" w:sz="0" w:space="0" w:color="auto"/>
          </w:divBdr>
        </w:div>
      </w:divsChild>
    </w:div>
    <w:div w:id="1457990474">
      <w:bodyDiv w:val="1"/>
      <w:marLeft w:val="0"/>
      <w:marRight w:val="0"/>
      <w:marTop w:val="0"/>
      <w:marBottom w:val="0"/>
      <w:divBdr>
        <w:top w:val="none" w:sz="0" w:space="0" w:color="auto"/>
        <w:left w:val="none" w:sz="0" w:space="0" w:color="auto"/>
        <w:bottom w:val="none" w:sz="0" w:space="0" w:color="auto"/>
        <w:right w:val="none" w:sz="0" w:space="0" w:color="auto"/>
      </w:divBdr>
      <w:divsChild>
        <w:div w:id="1089543052">
          <w:marLeft w:val="600"/>
          <w:marRight w:val="600"/>
          <w:marTop w:val="0"/>
          <w:marBottom w:val="0"/>
          <w:divBdr>
            <w:top w:val="none" w:sz="0" w:space="0" w:color="auto"/>
            <w:left w:val="none" w:sz="0" w:space="0" w:color="auto"/>
            <w:bottom w:val="none" w:sz="0" w:space="0" w:color="auto"/>
            <w:right w:val="none" w:sz="0" w:space="0" w:color="auto"/>
          </w:divBdr>
          <w:divsChild>
            <w:div w:id="38942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891488">
      <w:bodyDiv w:val="1"/>
      <w:marLeft w:val="0"/>
      <w:marRight w:val="0"/>
      <w:marTop w:val="0"/>
      <w:marBottom w:val="0"/>
      <w:divBdr>
        <w:top w:val="none" w:sz="0" w:space="0" w:color="auto"/>
        <w:left w:val="none" w:sz="0" w:space="0" w:color="auto"/>
        <w:bottom w:val="none" w:sz="0" w:space="0" w:color="auto"/>
        <w:right w:val="none" w:sz="0" w:space="0" w:color="auto"/>
      </w:divBdr>
      <w:divsChild>
        <w:div w:id="1993679970">
          <w:marLeft w:val="600"/>
          <w:marRight w:val="600"/>
          <w:marTop w:val="0"/>
          <w:marBottom w:val="0"/>
          <w:divBdr>
            <w:top w:val="none" w:sz="0" w:space="0" w:color="auto"/>
            <w:left w:val="none" w:sz="0" w:space="0" w:color="auto"/>
            <w:bottom w:val="none" w:sz="0" w:space="0" w:color="auto"/>
            <w:right w:val="none" w:sz="0" w:space="0" w:color="auto"/>
          </w:divBdr>
        </w:div>
      </w:divsChild>
    </w:div>
    <w:div w:id="1770002356">
      <w:bodyDiv w:val="1"/>
      <w:marLeft w:val="0"/>
      <w:marRight w:val="0"/>
      <w:marTop w:val="0"/>
      <w:marBottom w:val="0"/>
      <w:divBdr>
        <w:top w:val="none" w:sz="0" w:space="0" w:color="auto"/>
        <w:left w:val="none" w:sz="0" w:space="0" w:color="auto"/>
        <w:bottom w:val="none" w:sz="0" w:space="0" w:color="auto"/>
        <w:right w:val="none" w:sz="0" w:space="0" w:color="auto"/>
      </w:divBdr>
      <w:divsChild>
        <w:div w:id="1997030327">
          <w:marLeft w:val="600"/>
          <w:marRight w:val="600"/>
          <w:marTop w:val="0"/>
          <w:marBottom w:val="0"/>
          <w:divBdr>
            <w:top w:val="none" w:sz="0" w:space="0" w:color="auto"/>
            <w:left w:val="none" w:sz="0" w:space="0" w:color="auto"/>
            <w:bottom w:val="none" w:sz="0" w:space="0" w:color="auto"/>
            <w:right w:val="none" w:sz="0" w:space="0" w:color="auto"/>
          </w:divBdr>
        </w:div>
      </w:divsChild>
    </w:div>
    <w:div w:id="1995528462">
      <w:bodyDiv w:val="1"/>
      <w:marLeft w:val="0"/>
      <w:marRight w:val="0"/>
      <w:marTop w:val="0"/>
      <w:marBottom w:val="0"/>
      <w:divBdr>
        <w:top w:val="none" w:sz="0" w:space="0" w:color="auto"/>
        <w:left w:val="none" w:sz="0" w:space="0" w:color="auto"/>
        <w:bottom w:val="none" w:sz="0" w:space="0" w:color="auto"/>
        <w:right w:val="none" w:sz="0" w:space="0" w:color="auto"/>
      </w:divBdr>
      <w:divsChild>
        <w:div w:id="1246233430">
          <w:marLeft w:val="600"/>
          <w:marRight w:val="60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Personalizado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6</Pages>
  <Words>1210</Words>
  <Characters>6657</Characters>
  <Application>Microsoft Office Word</Application>
  <DocSecurity>0</DocSecurity>
  <Lines>55</Lines>
  <Paragraphs>15</Paragraphs>
  <ScaleCrop>false</ScaleCrop>
  <Company/>
  <LinksUpToDate>false</LinksUpToDate>
  <CharactersWithSpaces>7852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INGENIO-VAIO</dc:creator>
  <cp:keywords/>
  <dc:description/>
  <cp:lastModifiedBy>INGENIO-VAIO</cp:lastModifiedBy>
  <cp:revision>16</cp:revision>
  <dcterms:created xsi:type="dcterms:W3CDTF">2015-12-05T21:32:00Z</dcterms:created>
  <dcterms:modified xsi:type="dcterms:W3CDTF">2015-12-06T01:43:00Z</dcterms:modified>
</cp:coreProperties>
</file>