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3D" w:rsidRPr="009D423B" w:rsidRDefault="009C533D" w:rsidP="009C533D">
      <w:pPr>
        <w:spacing w:before="240" w:after="200" w:line="360" w:lineRule="auto"/>
        <w:ind w:right="49"/>
        <w:jc w:val="both"/>
        <w:rPr>
          <w:rFonts w:ascii="Arial" w:eastAsiaTheme="minorHAnsi" w:hAnsi="Arial" w:cs="Arial"/>
          <w:b/>
          <w:color w:val="76923C" w:themeColor="accent3" w:themeShade="BF"/>
          <w:kern w:val="0"/>
          <w:sz w:val="28"/>
          <w:szCs w:val="22"/>
          <w:lang w:eastAsia="en-US"/>
          <w14:ligatures w14:val="none"/>
          <w14:cntxtAlts w14:val="0"/>
        </w:rPr>
      </w:pPr>
      <w:bookmarkStart w:id="0" w:name="_GoBack"/>
      <w:bookmarkEnd w:id="0"/>
      <w:r w:rsidRPr="009D423B">
        <w:rPr>
          <w:rFonts w:ascii="Arial" w:eastAsiaTheme="minorHAnsi" w:hAnsi="Arial" w:cs="Arial"/>
          <w:b/>
          <w:color w:val="76923C" w:themeColor="accent3" w:themeShade="BF"/>
          <w:kern w:val="0"/>
          <w:sz w:val="28"/>
          <w:szCs w:val="22"/>
          <w:lang w:eastAsia="en-US"/>
          <w14:ligatures w14:val="none"/>
          <w14:cntxtAlts w14:val="0"/>
        </w:rPr>
        <w:t>Bibliografía</w:t>
      </w:r>
    </w:p>
    <w:p w:rsidR="009C533D" w:rsidRDefault="009C533D" w:rsidP="0078282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49"/>
        <w:jc w:val="both"/>
        <w:rPr>
          <w:rFonts w:ascii="Arial" w:hAnsi="Arial" w:cs="Arial"/>
        </w:rPr>
      </w:pPr>
      <w:r w:rsidRPr="00BC003C">
        <w:rPr>
          <w:rFonts w:ascii="Arial" w:hAnsi="Arial" w:cs="Arial"/>
          <w:lang w:val="es-CO"/>
        </w:rPr>
        <w:t xml:space="preserve">Castaño Vélez, Elkin (2013) Encuesta de Calidad de Vida 2013. Evaluación de la Calidad de Vida en el Departamento de Antioquia usando el nuevo indicador multidimensional de calidad de vida. </w:t>
      </w:r>
      <w:r w:rsidRPr="00BC649C">
        <w:rPr>
          <w:rFonts w:ascii="Arial" w:hAnsi="Arial" w:cs="Arial"/>
        </w:rPr>
        <w:t>2013. (</w:t>
      </w:r>
      <w:proofErr w:type="spellStart"/>
      <w:r w:rsidRPr="00BC649C">
        <w:rPr>
          <w:rFonts w:ascii="Arial" w:hAnsi="Arial" w:cs="Arial"/>
        </w:rPr>
        <w:t>Documento</w:t>
      </w:r>
      <w:proofErr w:type="spellEnd"/>
      <w:r w:rsidRPr="00BC649C">
        <w:rPr>
          <w:rFonts w:ascii="Arial" w:hAnsi="Arial" w:cs="Arial"/>
        </w:rPr>
        <w:t xml:space="preserve"> </w:t>
      </w:r>
      <w:proofErr w:type="spellStart"/>
      <w:r w:rsidRPr="00BC649C">
        <w:rPr>
          <w:rFonts w:ascii="Arial" w:hAnsi="Arial" w:cs="Arial"/>
        </w:rPr>
        <w:t>inédito</w:t>
      </w:r>
      <w:proofErr w:type="spellEnd"/>
      <w:r w:rsidRPr="00BC649C">
        <w:rPr>
          <w:rFonts w:ascii="Arial" w:hAnsi="Arial" w:cs="Arial"/>
        </w:rPr>
        <w:t xml:space="preserve">, </w:t>
      </w:r>
      <w:proofErr w:type="spellStart"/>
      <w:r w:rsidRPr="00BC649C">
        <w:rPr>
          <w:rFonts w:ascii="Arial" w:hAnsi="Arial" w:cs="Arial"/>
        </w:rPr>
        <w:t>Gobernación</w:t>
      </w:r>
      <w:proofErr w:type="spellEnd"/>
      <w:r w:rsidRPr="00BC649C">
        <w:rPr>
          <w:rFonts w:ascii="Arial" w:hAnsi="Arial" w:cs="Arial"/>
        </w:rPr>
        <w:t xml:space="preserve"> de Antioqui</w:t>
      </w:r>
      <w:r>
        <w:rPr>
          <w:rFonts w:ascii="Arial" w:hAnsi="Arial" w:cs="Arial"/>
        </w:rPr>
        <w:t xml:space="preserve">a, </w:t>
      </w:r>
      <w:proofErr w:type="spellStart"/>
      <w:r>
        <w:rPr>
          <w:rFonts w:ascii="Arial" w:hAnsi="Arial" w:cs="Arial"/>
        </w:rPr>
        <w:t>informe</w:t>
      </w:r>
      <w:proofErr w:type="spellEnd"/>
      <w:r>
        <w:rPr>
          <w:rFonts w:ascii="Arial" w:hAnsi="Arial" w:cs="Arial"/>
        </w:rPr>
        <w:t xml:space="preserve"> final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contrato</w:t>
      </w:r>
      <w:proofErr w:type="spellEnd"/>
      <w:r>
        <w:rPr>
          <w:rFonts w:ascii="Arial" w:hAnsi="Arial" w:cs="Arial"/>
        </w:rPr>
        <w:t>).</w:t>
      </w:r>
    </w:p>
    <w:p w:rsidR="009C533D" w:rsidRPr="00F921AA" w:rsidRDefault="009C533D" w:rsidP="009C533D">
      <w:pPr>
        <w:pStyle w:val="Prrafodelista"/>
        <w:autoSpaceDE w:val="0"/>
        <w:autoSpaceDN w:val="0"/>
        <w:adjustRightInd w:val="0"/>
        <w:spacing w:after="0" w:line="240" w:lineRule="auto"/>
        <w:ind w:left="426" w:right="51"/>
        <w:jc w:val="both"/>
        <w:rPr>
          <w:rFonts w:ascii="Arial" w:hAnsi="Arial" w:cs="Arial"/>
          <w:sz w:val="14"/>
        </w:rPr>
      </w:pPr>
    </w:p>
    <w:p w:rsidR="009C533D" w:rsidRDefault="009C533D" w:rsidP="0078282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right="49"/>
        <w:jc w:val="both"/>
        <w:rPr>
          <w:rFonts w:ascii="Arial" w:hAnsi="Arial" w:cs="Arial"/>
          <w:lang w:val="es-CO"/>
        </w:rPr>
      </w:pPr>
      <w:r w:rsidRPr="00BC003C">
        <w:rPr>
          <w:rFonts w:ascii="Arial" w:hAnsi="Arial" w:cs="Arial"/>
          <w:lang w:val="es-CO"/>
        </w:rPr>
        <w:t xml:space="preserve">Gobernación de Antioquia, Departamento Administrativo de Planeación, Dirección de Sistemas de Indicadores (2011), Encuesta de Calidad de Vida y Principales Indicadores 2011. Disponible en Internet (http://www.antioquia.gov.co/Anuario_Encuesta_2011/encuesta_web/, último acceso, agosto 25 de 2014) </w:t>
      </w:r>
    </w:p>
    <w:p w:rsidR="009C533D" w:rsidRPr="0084635F" w:rsidRDefault="009C533D" w:rsidP="009C533D">
      <w:pPr>
        <w:pStyle w:val="Prrafodelista"/>
        <w:rPr>
          <w:rFonts w:ascii="Arial" w:hAnsi="Arial" w:cs="Arial"/>
          <w:lang w:val="es-CO"/>
        </w:rPr>
      </w:pP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032"/>
      </w:tblGrid>
      <w:tr w:rsidR="009C533D" w:rsidRPr="0084635F" w:rsidTr="00F67381">
        <w:trPr>
          <w:trHeight w:val="1069"/>
          <w:jc w:val="center"/>
        </w:trPr>
        <w:tc>
          <w:tcPr>
            <w:tcW w:w="8989" w:type="dxa"/>
            <w:gridSpan w:val="2"/>
            <w:shd w:val="clear" w:color="auto" w:fill="A5D86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noProof/>
                <w:color w:val="auto"/>
                <w:kern w:val="0"/>
                <w:sz w:val="18"/>
                <w:szCs w:val="18"/>
                <w14:ligatures w14:val="none"/>
                <w14:cntxtAlts w14:val="0"/>
              </w:rPr>
              <w:t>AUTORÍA: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  <w:t>Dirección de Sistemas de Indicadores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  <w:t>Departamento Administrativo de Planeación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  <w:t>Gobernación de Antioquia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  <w:t>2014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  <w:t>Mayor información: indicadores.impacto@antioquia.gov.co</w:t>
            </w:r>
          </w:p>
        </w:tc>
      </w:tr>
      <w:tr w:rsidR="009C533D" w:rsidRPr="0084635F" w:rsidTr="00F67381">
        <w:trPr>
          <w:trHeight w:val="113"/>
          <w:jc w:val="center"/>
        </w:trPr>
        <w:tc>
          <w:tcPr>
            <w:tcW w:w="8989" w:type="dxa"/>
            <w:gridSpan w:val="2"/>
            <w:shd w:val="clear" w:color="auto" w:fill="A5D86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  <w:t xml:space="preserve">Realizado por: </w:t>
            </w:r>
          </w:p>
        </w:tc>
      </w:tr>
      <w:tr w:rsidR="009C533D" w:rsidRPr="0084635F" w:rsidTr="00F67381">
        <w:trPr>
          <w:trHeight w:val="225"/>
          <w:jc w:val="center"/>
        </w:trPr>
        <w:tc>
          <w:tcPr>
            <w:tcW w:w="495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Andrea Sanín Hernández (Ingeniera ambiental)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14:ligatures w14:val="none"/>
              </w:rPr>
              <w:t>Gloria Patricia Carmona Flórez (Estadística)</w:t>
            </w:r>
          </w:p>
        </w:tc>
        <w:tc>
          <w:tcPr>
            <w:tcW w:w="403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33D" w:rsidRPr="00BD2298" w:rsidRDefault="00E1166E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hyperlink r:id="rId8" w:history="1">
              <w:r w:rsidR="009C533D" w:rsidRPr="008A5E6E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  <w14:ligatures w14:val="none"/>
                </w:rPr>
                <w:t>andrea.sanin@antioquia.gov.co</w:t>
              </w:r>
            </w:hyperlink>
          </w:p>
          <w:p w:rsidR="009C533D" w:rsidRPr="0084635F" w:rsidRDefault="00E1166E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hyperlink r:id="rId9" w:history="1">
              <w:r w:rsidR="009C533D" w:rsidRPr="0084635F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  <w14:ligatures w14:val="none"/>
                </w:rPr>
                <w:t>Gloria.carmona@antioquia.gov.co</w:t>
              </w:r>
            </w:hyperlink>
          </w:p>
        </w:tc>
      </w:tr>
      <w:tr w:rsidR="009C533D" w:rsidRPr="0084635F" w:rsidTr="00F67381">
        <w:trPr>
          <w:trHeight w:val="20"/>
          <w:jc w:val="center"/>
        </w:trPr>
        <w:tc>
          <w:tcPr>
            <w:tcW w:w="4957" w:type="dxa"/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  <w14:ligatures w14:val="none"/>
              </w:rPr>
              <w:t>Apoyo:</w:t>
            </w:r>
          </w:p>
        </w:tc>
        <w:tc>
          <w:tcPr>
            <w:tcW w:w="4032" w:type="dxa"/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sz w:val="18"/>
                <w:szCs w:val="18"/>
              </w:rPr>
            </w:pPr>
          </w:p>
        </w:tc>
      </w:tr>
      <w:tr w:rsidR="009C533D" w:rsidRPr="0084635F" w:rsidTr="00F67381">
        <w:trPr>
          <w:trHeight w:val="737"/>
          <w:jc w:val="center"/>
        </w:trPr>
        <w:tc>
          <w:tcPr>
            <w:tcW w:w="495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Gildardo Peláez Jurado (Estadístico)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Paola Andrea Rúa Álvarez (Estadística)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 xml:space="preserve">Juan Camilo Saldarriaga (Estudiante </w:t>
            </w:r>
            <w:r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d</w:t>
            </w: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e Práctica 2014-I)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 xml:space="preserve">Camila Yanes Zea (Estudiante </w:t>
            </w:r>
            <w:r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d</w:t>
            </w: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e Práctica 2014 -II)</w:t>
            </w:r>
          </w:p>
        </w:tc>
        <w:tc>
          <w:tcPr>
            <w:tcW w:w="403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C533D" w:rsidRPr="00BD2298" w:rsidRDefault="00E1166E" w:rsidP="00F67381">
            <w:pPr>
              <w:widowControl w:val="0"/>
              <w:spacing w:after="0" w:line="240" w:lineRule="auto"/>
              <w:ind w:right="49"/>
              <w:rPr>
                <w:rStyle w:val="Hipervnculo"/>
                <w:rFonts w:ascii="Arial" w:hAnsi="Arial" w:cs="Arial"/>
                <w:lang w:val="es-ES_tradnl"/>
                <w14:ligatures w14:val="none"/>
              </w:rPr>
            </w:pPr>
            <w:hyperlink r:id="rId10" w:history="1">
              <w:r w:rsidR="009C533D" w:rsidRPr="00BD2298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  <w14:ligatures w14:val="none"/>
                </w:rPr>
                <w:t>Gildardo.pelaez@antioquia.gov.co</w:t>
              </w:r>
            </w:hyperlink>
            <w:r w:rsidR="009C533D" w:rsidRPr="00BD2298">
              <w:rPr>
                <w:rStyle w:val="Hipervnculo"/>
                <w:rFonts w:ascii="Arial" w:hAnsi="Arial" w:cs="Arial"/>
                <w:lang w:val="es-ES_tradnl"/>
                <w14:ligatures w14:val="none"/>
              </w:rPr>
              <w:t xml:space="preserve"> </w:t>
            </w:r>
            <w:r w:rsidR="009C533D" w:rsidRPr="00BD2298">
              <w:rPr>
                <w:rStyle w:val="Hipervnculo"/>
                <w:rFonts w:ascii="Arial" w:hAnsi="Arial" w:cs="Arial"/>
                <w:lang w:val="es-ES_tradnl"/>
                <w14:ligatures w14:val="none"/>
              </w:rPr>
              <w:br/>
            </w:r>
            <w:hyperlink r:id="rId11" w:history="1">
              <w:r w:rsidR="009C533D" w:rsidRPr="00BD2298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  <w14:ligatures w14:val="none"/>
                </w:rPr>
                <w:t>paola.rua@antioquia.gov.co</w:t>
              </w:r>
            </w:hyperlink>
          </w:p>
        </w:tc>
      </w:tr>
      <w:tr w:rsidR="009C533D" w:rsidRPr="0084635F" w:rsidTr="00F67381">
        <w:trPr>
          <w:trHeight w:val="27"/>
          <w:jc w:val="center"/>
        </w:trPr>
        <w:tc>
          <w:tcPr>
            <w:tcW w:w="4957" w:type="dxa"/>
            <w:shd w:val="clear" w:color="auto" w:fill="A5D86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b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b/>
                <w:sz w:val="18"/>
                <w:szCs w:val="18"/>
                <w:lang w:val="es-ES_tradnl"/>
                <w14:ligatures w14:val="none"/>
              </w:rPr>
              <w:t>Aprobado por:</w:t>
            </w:r>
          </w:p>
        </w:tc>
        <w:tc>
          <w:tcPr>
            <w:tcW w:w="4032" w:type="dxa"/>
            <w:shd w:val="clear" w:color="auto" w:fill="A5D86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33D" w:rsidRPr="00BD2298" w:rsidRDefault="009C533D" w:rsidP="00F67381">
            <w:pPr>
              <w:widowControl w:val="0"/>
              <w:spacing w:after="0" w:line="240" w:lineRule="auto"/>
              <w:ind w:right="49"/>
              <w:rPr>
                <w:rStyle w:val="Hipervnculo"/>
              </w:rPr>
            </w:pPr>
            <w:r w:rsidRPr="00BD2298">
              <w:rPr>
                <w:rStyle w:val="Hipervnculo"/>
              </w:rPr>
              <w:t> </w:t>
            </w:r>
          </w:p>
        </w:tc>
      </w:tr>
      <w:tr w:rsidR="009C533D" w:rsidRPr="0084635F" w:rsidTr="00F67381">
        <w:trPr>
          <w:trHeight w:val="407"/>
          <w:jc w:val="center"/>
        </w:trPr>
        <w:tc>
          <w:tcPr>
            <w:tcW w:w="495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 xml:space="preserve">Andrea Sanín Hernández   </w:t>
            </w:r>
          </w:p>
          <w:p w:rsidR="009C533D" w:rsidRPr="0084635F" w:rsidRDefault="009C533D" w:rsidP="00F67381">
            <w:pPr>
              <w:widowControl w:val="0"/>
              <w:spacing w:after="0" w:line="240" w:lineRule="auto"/>
              <w:ind w:right="49"/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</w:pPr>
            <w:r w:rsidRPr="0084635F">
              <w:rPr>
                <w:rFonts w:ascii="Arial" w:hAnsi="Arial" w:cs="Arial"/>
                <w:sz w:val="18"/>
                <w:szCs w:val="18"/>
                <w:lang w:val="es-ES_tradnl"/>
                <w14:ligatures w14:val="none"/>
              </w:rPr>
              <w:t>Directora de Sistemas de Indicadores</w:t>
            </w:r>
          </w:p>
        </w:tc>
        <w:tc>
          <w:tcPr>
            <w:tcW w:w="403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C533D" w:rsidRPr="00BD2298" w:rsidRDefault="00E1166E" w:rsidP="00F67381">
            <w:pPr>
              <w:widowControl w:val="0"/>
              <w:spacing w:after="0" w:line="240" w:lineRule="auto"/>
              <w:ind w:right="49"/>
              <w:rPr>
                <w:rStyle w:val="Hipervnculo"/>
              </w:rPr>
            </w:pPr>
            <w:hyperlink r:id="rId12" w:history="1">
              <w:r w:rsidR="009C533D" w:rsidRPr="0084635F">
                <w:rPr>
                  <w:rStyle w:val="Hipervnculo"/>
                  <w:rFonts w:ascii="Arial" w:hAnsi="Arial" w:cs="Arial"/>
                  <w:sz w:val="18"/>
                  <w:szCs w:val="18"/>
                  <w:lang w:val="es-ES_tradnl"/>
                  <w14:ligatures w14:val="none"/>
                </w:rPr>
                <w:t>andrea.sanin@antioquia.gov.co</w:t>
              </w:r>
            </w:hyperlink>
            <w:r w:rsidR="009C533D" w:rsidRPr="00BD2298">
              <w:rPr>
                <w:rStyle w:val="Hipervnculo"/>
              </w:rPr>
              <w:t xml:space="preserve">  </w:t>
            </w:r>
          </w:p>
        </w:tc>
      </w:tr>
    </w:tbl>
    <w:p w:rsidR="009C533D" w:rsidRPr="00F921AA" w:rsidRDefault="009C533D" w:rsidP="009C533D">
      <w:pPr>
        <w:tabs>
          <w:tab w:val="left" w:pos="2715"/>
        </w:tabs>
        <w:ind w:right="49"/>
        <w:rPr>
          <w:rFonts w:ascii="Arial" w:hAnsi="Arial" w:cs="Arial"/>
          <w:sz w:val="8"/>
          <w:szCs w:val="22"/>
        </w:rPr>
      </w:pPr>
    </w:p>
    <w:p w:rsidR="009C533D" w:rsidRPr="009C533D" w:rsidRDefault="009C533D" w:rsidP="00C504C9">
      <w:pPr>
        <w:widowControl w:val="0"/>
        <w:spacing w:before="360" w:line="286" w:lineRule="auto"/>
        <w:rPr>
          <w:rFonts w:ascii="Arial" w:hAnsi="Arial" w:cs="Arial"/>
          <w:b/>
          <w:color w:val="76923C" w:themeColor="accent3" w:themeShade="BF"/>
          <w:sz w:val="34"/>
          <w:szCs w:val="34"/>
          <w:lang w:val="es-MX"/>
        </w:rPr>
      </w:pPr>
    </w:p>
    <w:sectPr w:rsidR="009C533D" w:rsidRPr="009C533D" w:rsidSect="00F21AC1">
      <w:headerReference w:type="default" r:id="rId13"/>
      <w:footerReference w:type="default" r:id="rId14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6E" w:rsidRDefault="00E1166E" w:rsidP="003B3910">
      <w:pPr>
        <w:spacing w:after="0" w:line="240" w:lineRule="auto"/>
      </w:pPr>
      <w:r>
        <w:separator/>
      </w:r>
    </w:p>
  </w:endnote>
  <w:endnote w:type="continuationSeparator" w:id="0">
    <w:p w:rsidR="00E1166E" w:rsidRDefault="00E1166E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23B" w:rsidRPr="009D423B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6E" w:rsidRDefault="00E1166E" w:rsidP="003B3910">
      <w:pPr>
        <w:spacing w:after="0" w:line="240" w:lineRule="auto"/>
      </w:pPr>
      <w:r>
        <w:separator/>
      </w:r>
    </w:p>
  </w:footnote>
  <w:footnote w:type="continuationSeparator" w:id="0">
    <w:p w:rsidR="00E1166E" w:rsidRDefault="00E1166E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423B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66E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sanin@antioquia.gov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.sanin@antioquia.gov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ola.rua@antioquia.gov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ldardo.pelaez@antioqui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ria.carmona@antioquia.gov.c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9581719A-D21D-44A8-99F2-F4C59612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8</cp:revision>
  <cp:lastPrinted>2015-01-21T17:22:00Z</cp:lastPrinted>
  <dcterms:created xsi:type="dcterms:W3CDTF">2015-01-27T22:06:00Z</dcterms:created>
  <dcterms:modified xsi:type="dcterms:W3CDTF">2015-01-28T15:13:00Z</dcterms:modified>
</cp:coreProperties>
</file>