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8A7C6C" w:rsidRDefault="009C533D" w:rsidP="009C533D">
      <w:pPr>
        <w:spacing w:line="360" w:lineRule="auto"/>
        <w:ind w:left="-180" w:right="49"/>
        <w:jc w:val="both"/>
        <w:rPr>
          <w:rFonts w:ascii="Arial" w:hAnsi="Arial" w:cs="Arial"/>
          <w:b/>
          <w:noProof/>
          <w:color w:val="76923C" w:themeColor="accent3" w:themeShade="BF"/>
          <w:sz w:val="28"/>
          <w:szCs w:val="22"/>
        </w:rPr>
      </w:pPr>
      <w:r w:rsidRPr="008A7C6C">
        <w:rPr>
          <w:rFonts w:ascii="Arial" w:hAnsi="Arial" w:cs="Arial"/>
          <w:b/>
          <w:noProof/>
          <w:color w:val="76923C" w:themeColor="accent3" w:themeShade="BF"/>
          <w:sz w:val="28"/>
          <w:szCs w:val="22"/>
        </w:rPr>
        <w:t>¿Cuales son los ponderadores del IMCV?</w:t>
      </w:r>
    </w:p>
    <w:p w:rsidR="009C533D" w:rsidRPr="00BC649C" w:rsidRDefault="009C533D" w:rsidP="009C533D">
      <w:pPr>
        <w:spacing w:before="240" w:line="360" w:lineRule="auto"/>
        <w:ind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>Las 15 dimensiones del IMCV y el valor medio de los ponderadores o del aporte de las dimensiones dentro del modelo obtenidos en la línea base (año 2011) se presentan en el Gráfico 1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C533D" w:rsidRPr="00BC649C" w:rsidRDefault="009C533D" w:rsidP="009C533D">
      <w:pPr>
        <w:autoSpaceDE w:val="0"/>
        <w:autoSpaceDN w:val="0"/>
        <w:adjustRightInd w:val="0"/>
        <w:spacing w:before="120" w:line="360" w:lineRule="auto"/>
        <w:ind w:right="49"/>
        <w:jc w:val="both"/>
        <w:rPr>
          <w:rFonts w:ascii="Arial" w:hAnsi="Arial" w:cs="Arial"/>
        </w:rPr>
      </w:pPr>
      <w:r w:rsidRPr="00BC649C">
        <w:rPr>
          <w:rFonts w:ascii="Arial" w:hAnsi="Arial" w:cs="Arial"/>
          <w:noProof/>
        </w:rPr>
        <w:drawing>
          <wp:inline distT="0" distB="0" distL="0" distR="0" wp14:anchorId="4499B1F7" wp14:editId="574D368F">
            <wp:extent cx="5305425" cy="306705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533D" w:rsidRPr="00BC649C" w:rsidRDefault="009C533D" w:rsidP="009C533D">
      <w:pPr>
        <w:autoSpaceDE w:val="0"/>
        <w:autoSpaceDN w:val="0"/>
        <w:adjustRightInd w:val="0"/>
        <w:spacing w:before="120" w:line="360" w:lineRule="auto"/>
        <w:ind w:right="49"/>
        <w:jc w:val="both"/>
        <w:rPr>
          <w:rFonts w:ascii="Arial" w:hAnsi="Arial" w:cs="Arial"/>
          <w:noProof/>
        </w:rPr>
      </w:pPr>
      <w:r w:rsidRPr="00BC649C">
        <w:rPr>
          <w:rFonts w:ascii="Arial" w:hAnsi="Arial" w:cs="Arial"/>
          <w:b/>
          <w:noProof/>
        </w:rPr>
        <w:t>Gráfico 1.</w:t>
      </w:r>
      <w:r w:rsidRPr="00BC649C">
        <w:rPr>
          <w:rFonts w:ascii="Arial" w:hAnsi="Arial" w:cs="Arial"/>
          <w:noProof/>
        </w:rPr>
        <w:t xml:space="preserve"> Ponderación de cada una de las dimensiones del IMCV.</w:t>
      </w:r>
    </w:p>
    <w:p w:rsidR="009C533D" w:rsidRPr="00BC649C" w:rsidRDefault="009C533D" w:rsidP="009C533D">
      <w:pPr>
        <w:autoSpaceDE w:val="0"/>
        <w:autoSpaceDN w:val="0"/>
        <w:adjustRightInd w:val="0"/>
        <w:spacing w:line="360" w:lineRule="auto"/>
        <w:ind w:right="51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</w:pP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Vale la pena mencionar que los ponderadores de las dimensiones (gráfico 1), son calculados por el Modelo de Componentes Principales-ACP-en la línea base obtenida en el año 2011 para el Departamento de Antioquía y permanecen constantes para las siguientes mediciones; el tamaño o magnitud de estos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ponderadores (pesos) </w:t>
      </w: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fueron asignados de acuerdo a la variabilidad de las respuestas de los informantes a las preguntas del cuestionario que componen cada dimensión, a mayor variabilidad de las preguntas realizadas a los hogares mayor es el peso  de las dimensiones. </w:t>
      </w:r>
    </w:p>
    <w:p w:rsidR="009C533D" w:rsidRPr="00BC649C" w:rsidRDefault="009C533D" w:rsidP="009C533D">
      <w:pPr>
        <w:autoSpaceDE w:val="0"/>
        <w:autoSpaceDN w:val="0"/>
        <w:adjustRightInd w:val="0"/>
        <w:spacing w:line="360" w:lineRule="auto"/>
        <w:ind w:right="51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</w:pP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>Esto quiere decir, que  la asignación del peso de cada dimensión no constituye como tal una interpretación en términos de importancia de lo que represe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>nta cada una de ellas en la felicidad e integralidad</w:t>
      </w: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 de los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 distintos</w:t>
      </w: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 seres humanos.</w:t>
      </w:r>
    </w:p>
    <w:p w:rsidR="009C533D" w:rsidRDefault="009C533D" w:rsidP="009C533D">
      <w:pPr>
        <w:autoSpaceDE w:val="0"/>
        <w:autoSpaceDN w:val="0"/>
        <w:adjustRightInd w:val="0"/>
        <w:spacing w:before="120" w:line="360" w:lineRule="auto"/>
        <w:ind w:right="51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</w:pP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lastRenderedPageBreak/>
        <w:t xml:space="preserve">Es de notar que las dimensiones que más peso tienen en el Indicador son la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>v</w:t>
      </w: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ulnerabilidad, el capital físico del hogar,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 xml:space="preserve">el </w:t>
      </w:r>
      <w:r w:rsidRPr="00BC649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>entorno y calidad de la vivienda, y la que menos pesa en el indicador es la recreación.</w:t>
      </w:r>
      <w:bookmarkStart w:id="0" w:name="_GoBack"/>
      <w:bookmarkEnd w:id="0"/>
    </w:p>
    <w:sectPr w:rsidR="009C533D" w:rsidSect="00F21AC1">
      <w:headerReference w:type="default" r:id="rId9"/>
      <w:footerReference w:type="default" r:id="rId10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CF" w:rsidRDefault="00131BCF" w:rsidP="003B3910">
      <w:pPr>
        <w:spacing w:after="0" w:line="240" w:lineRule="auto"/>
      </w:pPr>
      <w:r>
        <w:separator/>
      </w:r>
    </w:p>
  </w:endnote>
  <w:endnote w:type="continuationSeparator" w:id="0">
    <w:p w:rsidR="00131BCF" w:rsidRDefault="00131BCF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C6C" w:rsidRPr="008A7C6C">
          <w:rPr>
            <w:noProof/>
            <w:lang w:val="es-ES"/>
          </w:rPr>
          <w:t>2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CF" w:rsidRDefault="00131BCF" w:rsidP="003B3910">
      <w:pPr>
        <w:spacing w:after="0" w:line="240" w:lineRule="auto"/>
      </w:pPr>
      <w:r>
        <w:separator/>
      </w:r>
    </w:p>
  </w:footnote>
  <w:footnote w:type="continuationSeparator" w:id="0">
    <w:p w:rsidR="00131BCF" w:rsidRDefault="00131BCF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1BCF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A7C6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SANIN\URAB&#193;_ECV\URABA_CIFR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Hoja3!$B$1</c:f>
              <c:strCache>
                <c:ptCount val="1"/>
                <c:pt idx="0">
                  <c:v>Máximo Modelo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Hoja3!$A$2:$A$16</c:f>
              <c:strCache>
                <c:ptCount val="15"/>
                <c:pt idx="0">
                  <c:v>Recreacion</c:v>
                </c:pt>
                <c:pt idx="1">
                  <c:v>Trabajo</c:v>
                </c:pt>
                <c:pt idx="2">
                  <c:v>Participación</c:v>
                </c:pt>
                <c:pt idx="3">
                  <c:v>Percepción de la Calidad de Vida</c:v>
                </c:pt>
                <c:pt idx="4">
                  <c:v>Percepción Movilidad</c:v>
                </c:pt>
                <c:pt idx="5">
                  <c:v>Percepción Libertad y Seguridad</c:v>
                </c:pt>
                <c:pt idx="6">
                  <c:v>Ingresos</c:v>
                </c:pt>
                <c:pt idx="7">
                  <c:v>Acceso a Servicios Publicos</c:v>
                </c:pt>
                <c:pt idx="8">
                  <c:v>Desescolarizacion</c:v>
                </c:pt>
                <c:pt idx="9">
                  <c:v>Salud</c:v>
                </c:pt>
                <c:pt idx="10">
                  <c:v>Percepción Medio Ambiente</c:v>
                </c:pt>
                <c:pt idx="11">
                  <c:v>Escolaridad</c:v>
                </c:pt>
                <c:pt idx="12">
                  <c:v>Entorno y Calidad de la Vivienda</c:v>
                </c:pt>
                <c:pt idx="13">
                  <c:v>Capital Fisico del Hogar</c:v>
                </c:pt>
                <c:pt idx="14">
                  <c:v>Vulnerabilidad</c:v>
                </c:pt>
              </c:strCache>
            </c:strRef>
          </c:cat>
          <c:val>
            <c:numRef>
              <c:f>Hoja3!$B$2:$B$16</c:f>
              <c:numCache>
                <c:formatCode>0.00</c:formatCode>
                <c:ptCount val="15"/>
                <c:pt idx="0">
                  <c:v>1.73</c:v>
                </c:pt>
                <c:pt idx="1">
                  <c:v>2.27</c:v>
                </c:pt>
                <c:pt idx="2">
                  <c:v>2.33</c:v>
                </c:pt>
                <c:pt idx="3">
                  <c:v>2.4</c:v>
                </c:pt>
                <c:pt idx="4">
                  <c:v>3.09</c:v>
                </c:pt>
                <c:pt idx="5">
                  <c:v>3.43</c:v>
                </c:pt>
                <c:pt idx="6">
                  <c:v>4.24</c:v>
                </c:pt>
                <c:pt idx="7">
                  <c:v>4.49</c:v>
                </c:pt>
                <c:pt idx="8">
                  <c:v>4.66</c:v>
                </c:pt>
                <c:pt idx="9">
                  <c:v>6.69</c:v>
                </c:pt>
                <c:pt idx="10">
                  <c:v>7.03</c:v>
                </c:pt>
                <c:pt idx="11">
                  <c:v>8.7899999999999991</c:v>
                </c:pt>
                <c:pt idx="12">
                  <c:v>9.76</c:v>
                </c:pt>
                <c:pt idx="13">
                  <c:v>16.89</c:v>
                </c:pt>
                <c:pt idx="14">
                  <c:v>22.18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48309416"/>
        <c:axId val="348309808"/>
      </c:barChart>
      <c:catAx>
        <c:axId val="348309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s-CO"/>
          </a:p>
        </c:txPr>
        <c:crossAx val="348309808"/>
        <c:crosses val="autoZero"/>
        <c:auto val="1"/>
        <c:lblAlgn val="ctr"/>
        <c:lblOffset val="100"/>
        <c:noMultiLvlLbl val="0"/>
      </c:catAx>
      <c:valAx>
        <c:axId val="348309808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CO"/>
          </a:p>
        </c:txPr>
        <c:crossAx val="348309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9BD663C2-B25D-4B6C-A15A-F9DD0FA0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2015-01-28T15:35:00Z</dcterms:modified>
</cp:coreProperties>
</file>