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4077C1" w:rsidRDefault="009C533D" w:rsidP="009C533D">
      <w:pPr>
        <w:spacing w:after="200" w:line="360" w:lineRule="auto"/>
        <w:ind w:right="49"/>
        <w:jc w:val="both"/>
        <w:rPr>
          <w:rFonts w:ascii="Arial" w:eastAsiaTheme="majorEastAsia" w:hAnsi="Arial" w:cs="Arial"/>
          <w:b/>
          <w:color w:val="76923C" w:themeColor="accent3" w:themeShade="BF"/>
          <w:sz w:val="28"/>
          <w:szCs w:val="28"/>
          <w:lang w:val="es-ES_tradnl"/>
        </w:rPr>
      </w:pPr>
      <w:r w:rsidRPr="004077C1">
        <w:rPr>
          <w:rFonts w:ascii="Arial" w:eastAsiaTheme="majorEastAsia" w:hAnsi="Arial" w:cs="Arial"/>
          <w:b/>
          <w:color w:val="76923C" w:themeColor="accent3" w:themeShade="BF"/>
          <w:sz w:val="28"/>
          <w:szCs w:val="28"/>
          <w:lang w:val="es-ES_tradnl"/>
        </w:rPr>
        <w:t>¿Qué sign</w:t>
      </w:r>
      <w:bookmarkStart w:id="0" w:name="_GoBack"/>
      <w:bookmarkEnd w:id="0"/>
      <w:r w:rsidRPr="004077C1">
        <w:rPr>
          <w:rFonts w:ascii="Arial" w:eastAsiaTheme="majorEastAsia" w:hAnsi="Arial" w:cs="Arial"/>
          <w:b/>
          <w:color w:val="76923C" w:themeColor="accent3" w:themeShade="BF"/>
          <w:sz w:val="28"/>
          <w:szCs w:val="28"/>
          <w:lang w:val="es-ES_tradnl"/>
        </w:rPr>
        <w:t>ificado tiene el valor del índice de calidad de vida en un área geográfica?</w:t>
      </w:r>
    </w:p>
    <w:p w:rsidR="009C533D" w:rsidRPr="00BC649C" w:rsidRDefault="009C533D" w:rsidP="009C533D">
      <w:pPr>
        <w:spacing w:after="200" w:line="360" w:lineRule="auto"/>
        <w:ind w:right="49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El índice muestra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 el valor promedio de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la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 calidad de vida de los hogares e</w:t>
      </w:r>
      <w:r>
        <w:rPr>
          <w:rFonts w:ascii="Arial" w:hAnsi="Arial" w:cs="Arial"/>
          <w:bCs/>
          <w:sz w:val="22"/>
          <w:szCs w:val="22"/>
          <w:lang w:val="es-ES_tradnl"/>
        </w:rPr>
        <w:t>n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un 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>área geográfica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determinada. La calidad de vida de cada hogar, se estima mediante la suma de los valores asignados según la respuesta del hogar a cada variable que conforma el indicador y de acuerdo con 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la metodología del ICV </w:t>
      </w:r>
      <w:proofErr w:type="spellStart"/>
      <w:r w:rsidRPr="00BC649C">
        <w:rPr>
          <w:rFonts w:ascii="Arial" w:hAnsi="Arial" w:cs="Arial"/>
          <w:bCs/>
          <w:sz w:val="22"/>
          <w:szCs w:val="22"/>
          <w:lang w:val="es-ES_tradnl"/>
        </w:rPr>
        <w:t>ó</w:t>
      </w:r>
      <w:proofErr w:type="spellEnd"/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 el IMCV</w:t>
      </w:r>
      <w:r>
        <w:rPr>
          <w:rFonts w:ascii="Arial" w:hAnsi="Arial" w:cs="Arial"/>
          <w:bCs/>
          <w:sz w:val="22"/>
          <w:szCs w:val="22"/>
          <w:lang w:val="es-ES_tradnl"/>
        </w:rPr>
        <w:t>.</w:t>
      </w:r>
    </w:p>
    <w:p w:rsidR="009C533D" w:rsidRPr="00BC649C" w:rsidRDefault="009C533D" w:rsidP="009C533D">
      <w:pPr>
        <w:spacing w:after="200" w:line="360" w:lineRule="auto"/>
        <w:ind w:right="49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Se debe tener en cuenta que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 los indicadores tienen un rango de 0-100, donde 0 es la mínima calidad de vida de un hogar (condición más desfavorable) y 100 es la máxima calidad de vida (condición más favorable)</w:t>
      </w:r>
      <w:r>
        <w:rPr>
          <w:rFonts w:ascii="Arial" w:hAnsi="Arial" w:cs="Arial"/>
          <w:bCs/>
          <w:sz w:val="22"/>
          <w:szCs w:val="22"/>
          <w:lang w:val="es-ES_tradnl"/>
        </w:rPr>
        <w:t>.</w:t>
      </w:r>
    </w:p>
    <w:p w:rsidR="009C533D" w:rsidRDefault="009C533D" w:rsidP="009C533D">
      <w:pPr>
        <w:spacing w:after="200" w:line="360" w:lineRule="auto"/>
        <w:ind w:right="49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Con los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cambios de los 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>valores promedios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de un año a otro,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 se puede evidenciar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que tanto han avanzado los 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>hogares en su calidad de vida.</w:t>
      </w:r>
    </w:p>
    <w:sectPr w:rsidR="009C533D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917" w:rsidRDefault="00C92917" w:rsidP="003B3910">
      <w:pPr>
        <w:spacing w:after="0" w:line="240" w:lineRule="auto"/>
      </w:pPr>
      <w:r>
        <w:separator/>
      </w:r>
    </w:p>
  </w:endnote>
  <w:endnote w:type="continuationSeparator" w:id="0">
    <w:p w:rsidR="00C92917" w:rsidRDefault="00C92917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7C1" w:rsidRPr="004077C1">
          <w:rPr>
            <w:noProof/>
            <w:lang w:val="es-ES"/>
          </w:rPr>
          <w:t>1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917" w:rsidRDefault="00C92917" w:rsidP="003B3910">
      <w:pPr>
        <w:spacing w:after="0" w:line="240" w:lineRule="auto"/>
      </w:pPr>
      <w:r>
        <w:separator/>
      </w:r>
    </w:p>
  </w:footnote>
  <w:footnote w:type="continuationSeparator" w:id="0">
    <w:p w:rsidR="00C92917" w:rsidRDefault="00C92917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7C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92917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E4335067-E2B3-428C-999E-399056A9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2015-01-28T15:40:00Z</dcterms:modified>
</cp:coreProperties>
</file>